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D13D" w14:textId="77777777" w:rsidR="00E203C2" w:rsidRDefault="00E203C2" w:rsidP="00E203C2">
      <w:bookmarkStart w:id="0" w:name="_GoBack"/>
      <w:bookmarkEnd w:id="0"/>
      <w:r>
        <w:rPr>
          <w:noProof/>
          <w:lang w:eastAsia="en-GB" w:bidi="ar-SA"/>
        </w:rPr>
        <w:drawing>
          <wp:inline distT="0" distB="0" distL="0" distR="0" wp14:anchorId="3BA9D198" wp14:editId="3BA9D19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A9D13E" w14:textId="77777777" w:rsidR="00E203C2" w:rsidRDefault="00E203C2" w:rsidP="00E203C2"/>
    <w:p w14:paraId="3BA9D13F" w14:textId="77777777" w:rsidR="00092CDA" w:rsidRPr="007748F8" w:rsidRDefault="00092CDA" w:rsidP="009401CE">
      <w:pPr>
        <w:pStyle w:val="FSTitle"/>
        <w:spacing w:before="120" w:after="120"/>
        <w:rPr>
          <w:b/>
        </w:rPr>
      </w:pPr>
      <w:r w:rsidRPr="007748F8">
        <w:rPr>
          <w:b/>
        </w:rPr>
        <w:t>S</w:t>
      </w:r>
      <w:r w:rsidR="00B12F1E" w:rsidRPr="007748F8">
        <w:rPr>
          <w:b/>
        </w:rPr>
        <w:t>upporting document</w:t>
      </w:r>
      <w:r w:rsidRPr="007748F8">
        <w:rPr>
          <w:b/>
        </w:rPr>
        <w:t xml:space="preserve"> </w:t>
      </w:r>
      <w:r w:rsidR="007748F8" w:rsidRPr="007748F8">
        <w:rPr>
          <w:b/>
        </w:rPr>
        <w:t>2</w:t>
      </w:r>
    </w:p>
    <w:p w14:paraId="3BA9D143" w14:textId="208A23B9" w:rsidR="00D056F1" w:rsidRPr="007748F8" w:rsidRDefault="00035623" w:rsidP="00610742">
      <w:pPr>
        <w:pStyle w:val="FSTitle"/>
      </w:pPr>
      <w:r>
        <w:t>Regard to</w:t>
      </w:r>
      <w:r w:rsidR="007748F8" w:rsidRPr="007748F8">
        <w:t xml:space="preserve"> the Ministerial Policy Guideline</w:t>
      </w:r>
      <w:r w:rsidR="00CC4FD9">
        <w:t xml:space="preserve"> </w:t>
      </w:r>
      <w:r w:rsidR="006B5EBE" w:rsidRPr="007748F8">
        <w:t xml:space="preserve">– </w:t>
      </w:r>
      <w:r w:rsidR="00D056F1" w:rsidRPr="007748F8">
        <w:t>A</w:t>
      </w:r>
      <w:r w:rsidR="007748F8" w:rsidRPr="007748F8">
        <w:t>pplication A1</w:t>
      </w:r>
      <w:r w:rsidR="003F392A">
        <w:t>1</w:t>
      </w:r>
      <w:r w:rsidR="007748F8" w:rsidRPr="007748F8">
        <w:t>7</w:t>
      </w:r>
      <w:r w:rsidR="003F392A">
        <w:t>3</w:t>
      </w:r>
      <w:r w:rsidR="00CC4FD9">
        <w:br/>
      </w:r>
      <w:r w:rsidR="007748F8" w:rsidRPr="007748F8">
        <w:t xml:space="preserve">Minimum </w:t>
      </w:r>
      <w:r w:rsidR="003F392A">
        <w:t xml:space="preserve">protein </w:t>
      </w:r>
      <w:r w:rsidR="007748F8" w:rsidRPr="007748F8">
        <w:t xml:space="preserve">in </w:t>
      </w:r>
      <w:r w:rsidR="003F392A">
        <w:t>follow-on</w:t>
      </w:r>
      <w:r w:rsidR="007748F8" w:rsidRPr="007748F8">
        <w:t xml:space="preserve"> </w:t>
      </w:r>
      <w:r w:rsidR="003F392A">
        <w:t>f</w:t>
      </w:r>
      <w:r w:rsidR="007748F8" w:rsidRPr="007748F8">
        <w:t xml:space="preserve">ormula </w:t>
      </w:r>
    </w:p>
    <w:p w14:paraId="3BA9D144" w14:textId="77777777" w:rsidR="00E203C2" w:rsidRPr="009401CE" w:rsidRDefault="00E203C2" w:rsidP="009401CE">
      <w:pPr>
        <w:pBdr>
          <w:bottom w:val="single" w:sz="12" w:space="1" w:color="auto"/>
        </w:pBdr>
        <w:rPr>
          <w:rFonts w:cs="Arial"/>
          <w:bCs/>
          <w:sz w:val="12"/>
        </w:rPr>
      </w:pPr>
    </w:p>
    <w:p w14:paraId="3BA9D145" w14:textId="77777777" w:rsidR="00E203C2" w:rsidRPr="009401CE" w:rsidRDefault="00E203C2" w:rsidP="00E203C2">
      <w:pPr>
        <w:rPr>
          <w:sz w:val="8"/>
        </w:rPr>
      </w:pPr>
    </w:p>
    <w:p w14:paraId="3BA9D146" w14:textId="77777777" w:rsidR="007748F8" w:rsidRDefault="007748F8" w:rsidP="007748F8">
      <w:pPr>
        <w:rPr>
          <w:rFonts w:cs="Arial"/>
          <w:szCs w:val="22"/>
        </w:rPr>
      </w:pPr>
      <w:r>
        <w:t xml:space="preserve">FSANZ has had </w:t>
      </w:r>
      <w:r w:rsidRPr="009452B8">
        <w:rPr>
          <w:rFonts w:cs="Arial"/>
          <w:szCs w:val="22"/>
        </w:rPr>
        <w:t xml:space="preserve">regard to the Ministerial Policy Guideline on the </w:t>
      </w:r>
      <w:r w:rsidRPr="009452B8">
        <w:rPr>
          <w:rFonts w:cs="Arial"/>
          <w:i/>
          <w:szCs w:val="22"/>
        </w:rPr>
        <w:t xml:space="preserve">Regulation of Infant Formula Products </w:t>
      </w:r>
      <w:r>
        <w:rPr>
          <w:rFonts w:cs="Arial"/>
          <w:szCs w:val="22"/>
        </w:rPr>
        <w:t xml:space="preserve">(the Policy Guideline) </w:t>
      </w:r>
      <w:r w:rsidRPr="009452B8">
        <w:rPr>
          <w:rFonts w:cs="Arial"/>
          <w:szCs w:val="22"/>
        </w:rPr>
        <w:t xml:space="preserve">in </w:t>
      </w:r>
      <w:r>
        <w:rPr>
          <w:rFonts w:cs="Arial"/>
          <w:szCs w:val="22"/>
        </w:rPr>
        <w:t xml:space="preserve">our </w:t>
      </w:r>
      <w:r w:rsidRPr="009452B8">
        <w:rPr>
          <w:rFonts w:cs="Arial"/>
          <w:szCs w:val="22"/>
        </w:rPr>
        <w:t>assessm</w:t>
      </w:r>
      <w:r>
        <w:rPr>
          <w:rFonts w:cs="Arial"/>
          <w:szCs w:val="22"/>
        </w:rPr>
        <w:t xml:space="preserve">ent of this Application. The Policy Guideline includes specific policy principles relating to composition, labelling and advertising, as well as overarching principles. The table below summarises our assessment in relation to these specific policy principles, with particular focus on the principles for composition. </w:t>
      </w:r>
    </w:p>
    <w:p w14:paraId="3BA9D147" w14:textId="77777777" w:rsidR="007748F8" w:rsidRDefault="007748F8" w:rsidP="007748F8">
      <w:pPr>
        <w:rPr>
          <w:rFonts w:cs="Arial"/>
          <w:szCs w:val="22"/>
        </w:rPr>
      </w:pPr>
    </w:p>
    <w:tbl>
      <w:tblPr>
        <w:tblStyle w:val="TableGrid"/>
        <w:tblW w:w="0" w:type="auto"/>
        <w:tblLook w:val="04A0" w:firstRow="1" w:lastRow="0" w:firstColumn="1" w:lastColumn="0" w:noHBand="0" w:noVBand="1"/>
      </w:tblPr>
      <w:tblGrid>
        <w:gridCol w:w="5699"/>
        <w:gridCol w:w="5694"/>
        <w:gridCol w:w="2555"/>
      </w:tblGrid>
      <w:tr w:rsidR="00005D31" w:rsidRPr="002F4A05" w14:paraId="3BA9D14B" w14:textId="77777777" w:rsidTr="007A1827">
        <w:trPr>
          <w:tblHeader/>
        </w:trPr>
        <w:tc>
          <w:tcPr>
            <w:tcW w:w="5700" w:type="dxa"/>
            <w:shd w:val="clear" w:color="auto" w:fill="D6E3BC" w:themeFill="accent3" w:themeFillTint="66"/>
          </w:tcPr>
          <w:p w14:paraId="3BA9D148" w14:textId="77777777" w:rsidR="007748F8" w:rsidRPr="002F4A05" w:rsidRDefault="007748F8" w:rsidP="00A47128">
            <w:pPr>
              <w:spacing w:before="120" w:after="120"/>
              <w:rPr>
                <w:rFonts w:cs="Arial"/>
                <w:b/>
                <w:sz w:val="20"/>
                <w:szCs w:val="20"/>
              </w:rPr>
            </w:pPr>
            <w:r w:rsidRPr="002F4A05">
              <w:rPr>
                <w:rFonts w:cs="Arial"/>
                <w:b/>
                <w:sz w:val="20"/>
                <w:szCs w:val="20"/>
              </w:rPr>
              <w:t>Specific Policy Principles</w:t>
            </w:r>
          </w:p>
        </w:tc>
        <w:tc>
          <w:tcPr>
            <w:tcW w:w="5693" w:type="dxa"/>
            <w:shd w:val="clear" w:color="auto" w:fill="D6E3BC" w:themeFill="accent3" w:themeFillTint="66"/>
          </w:tcPr>
          <w:p w14:paraId="3BA9D149" w14:textId="77777777" w:rsidR="007748F8" w:rsidRPr="002F4A05" w:rsidRDefault="007748F8" w:rsidP="00A47128">
            <w:pPr>
              <w:spacing w:before="120" w:after="120"/>
              <w:rPr>
                <w:rFonts w:cs="Arial"/>
                <w:b/>
                <w:sz w:val="20"/>
                <w:szCs w:val="20"/>
              </w:rPr>
            </w:pPr>
            <w:r w:rsidRPr="002F4A05">
              <w:rPr>
                <w:rFonts w:cs="Arial"/>
                <w:b/>
                <w:sz w:val="20"/>
                <w:szCs w:val="20"/>
              </w:rPr>
              <w:t>Approach</w:t>
            </w:r>
          </w:p>
        </w:tc>
        <w:tc>
          <w:tcPr>
            <w:tcW w:w="2555" w:type="dxa"/>
            <w:shd w:val="clear" w:color="auto" w:fill="D6E3BC" w:themeFill="accent3" w:themeFillTint="66"/>
          </w:tcPr>
          <w:p w14:paraId="3BA9D14A" w14:textId="77777777" w:rsidR="007748F8" w:rsidRPr="002F4A05" w:rsidRDefault="007748F8" w:rsidP="00A47128">
            <w:pPr>
              <w:spacing w:before="120" w:after="120"/>
              <w:rPr>
                <w:rFonts w:cs="Arial"/>
                <w:b/>
                <w:sz w:val="20"/>
                <w:szCs w:val="20"/>
              </w:rPr>
            </w:pPr>
            <w:r w:rsidRPr="002F4A05">
              <w:rPr>
                <w:rFonts w:cs="Arial"/>
                <w:b/>
                <w:sz w:val="20"/>
                <w:szCs w:val="20"/>
              </w:rPr>
              <w:t>Does the assessment meet the Policy Principles?</w:t>
            </w:r>
          </w:p>
        </w:tc>
      </w:tr>
      <w:tr w:rsidR="007748F8" w:rsidRPr="002F4A05" w14:paraId="3BA9D14D" w14:textId="77777777" w:rsidTr="00A47128">
        <w:tc>
          <w:tcPr>
            <w:tcW w:w="14174" w:type="dxa"/>
            <w:gridSpan w:val="3"/>
          </w:tcPr>
          <w:p w14:paraId="3BA9D14C" w14:textId="77777777" w:rsidR="007748F8" w:rsidRPr="002F4A05" w:rsidRDefault="007748F8" w:rsidP="009401CE">
            <w:pPr>
              <w:spacing w:before="120"/>
              <w:rPr>
                <w:rFonts w:cs="Arial"/>
                <w:b/>
                <w:sz w:val="20"/>
                <w:szCs w:val="20"/>
              </w:rPr>
            </w:pPr>
            <w:r w:rsidRPr="002F4A05">
              <w:rPr>
                <w:rFonts w:cs="Arial"/>
                <w:b/>
                <w:i/>
                <w:sz w:val="20"/>
                <w:szCs w:val="20"/>
              </w:rPr>
              <w:t>Overarching</w:t>
            </w:r>
          </w:p>
        </w:tc>
      </w:tr>
      <w:tr w:rsidR="00005D31" w:rsidRPr="002F4A05" w14:paraId="3BA9D151" w14:textId="77777777" w:rsidTr="00610742">
        <w:tc>
          <w:tcPr>
            <w:tcW w:w="5795" w:type="dxa"/>
          </w:tcPr>
          <w:p w14:paraId="3BA9D14E" w14:textId="77777777" w:rsidR="007748F8" w:rsidRPr="002F4A05" w:rsidRDefault="007748F8" w:rsidP="00A47128">
            <w:pPr>
              <w:spacing w:before="120" w:after="120"/>
              <w:rPr>
                <w:rFonts w:cs="Arial"/>
                <w:b/>
                <w:sz w:val="20"/>
                <w:szCs w:val="20"/>
              </w:rPr>
            </w:pPr>
            <w:r w:rsidRPr="002F4A05">
              <w:rPr>
                <w:rFonts w:cs="Arial"/>
                <w:sz w:val="20"/>
                <w:szCs w:val="20"/>
              </w:rPr>
              <w:t>(a) The regulation of infant formula products should recognise that breastfeeding is the normal and recommended way to feed an infant.</w:t>
            </w:r>
          </w:p>
        </w:tc>
        <w:tc>
          <w:tcPr>
            <w:tcW w:w="5795" w:type="dxa"/>
          </w:tcPr>
          <w:p w14:paraId="3BA9D14F" w14:textId="77777777" w:rsidR="007748F8" w:rsidRPr="00E332E3" w:rsidRDefault="007748F8" w:rsidP="00A47128">
            <w:pPr>
              <w:spacing w:before="120" w:after="120"/>
              <w:rPr>
                <w:rFonts w:cs="Arial"/>
                <w:sz w:val="20"/>
                <w:szCs w:val="20"/>
              </w:rPr>
            </w:pPr>
            <w:r>
              <w:rPr>
                <w:rFonts w:cs="Arial"/>
                <w:sz w:val="20"/>
                <w:szCs w:val="20"/>
              </w:rPr>
              <w:t>FSANZ acknowledged in its report that breastfeeding is the recommended way to feed an infant.</w:t>
            </w:r>
          </w:p>
        </w:tc>
        <w:tc>
          <w:tcPr>
            <w:tcW w:w="2584" w:type="dxa"/>
            <w:shd w:val="clear" w:color="auto" w:fill="auto"/>
          </w:tcPr>
          <w:p w14:paraId="3BA9D150" w14:textId="360536F3" w:rsidR="007748F8" w:rsidRPr="002F4A05" w:rsidRDefault="00610742" w:rsidP="00A47128">
            <w:pPr>
              <w:spacing w:before="120" w:after="120"/>
              <w:rPr>
                <w:rFonts w:cs="Arial"/>
                <w:sz w:val="20"/>
                <w:szCs w:val="20"/>
              </w:rPr>
            </w:pPr>
            <w:r>
              <w:rPr>
                <w:rFonts w:cs="Arial"/>
                <w:sz w:val="20"/>
                <w:szCs w:val="20"/>
              </w:rPr>
              <w:t>Yes</w:t>
            </w:r>
          </w:p>
        </w:tc>
      </w:tr>
      <w:tr w:rsidR="00005D31" w:rsidRPr="002F4A05" w14:paraId="3BA9D156" w14:textId="77777777" w:rsidTr="00A47128">
        <w:tc>
          <w:tcPr>
            <w:tcW w:w="5795" w:type="dxa"/>
          </w:tcPr>
          <w:p w14:paraId="3BA9D152" w14:textId="77777777" w:rsidR="007748F8" w:rsidRPr="002F4A05" w:rsidRDefault="007748F8" w:rsidP="00A47128">
            <w:pPr>
              <w:spacing w:before="120" w:after="120"/>
              <w:rPr>
                <w:rFonts w:cs="Arial"/>
                <w:sz w:val="20"/>
                <w:szCs w:val="20"/>
              </w:rPr>
            </w:pPr>
            <w:r w:rsidRPr="002F4A05">
              <w:rPr>
                <w:rFonts w:cs="Arial"/>
                <w:sz w:val="20"/>
                <w:szCs w:val="20"/>
              </w:rPr>
              <w:t>(b) The regulation of infant formula products should not be inconsistent with the national nutrition policies and guidelines of Australia and New Zealand that are relevant to infant feeding.</w:t>
            </w:r>
          </w:p>
        </w:tc>
        <w:tc>
          <w:tcPr>
            <w:tcW w:w="5795" w:type="dxa"/>
          </w:tcPr>
          <w:p w14:paraId="3BA9D154" w14:textId="0B6BFA35" w:rsidR="007748F8" w:rsidRPr="00E332E3" w:rsidRDefault="007748F8" w:rsidP="00A65433">
            <w:pPr>
              <w:widowControl/>
              <w:spacing w:before="120" w:after="120"/>
              <w:rPr>
                <w:rFonts w:cs="Arial"/>
                <w:sz w:val="20"/>
                <w:szCs w:val="20"/>
              </w:rPr>
            </w:pPr>
            <w:r>
              <w:rPr>
                <w:rFonts w:cs="Arial"/>
                <w:sz w:val="20"/>
                <w:szCs w:val="20"/>
              </w:rPr>
              <w:t xml:space="preserve">The proposed </w:t>
            </w:r>
            <w:r w:rsidR="00CC4FD9">
              <w:rPr>
                <w:rFonts w:cs="Arial"/>
                <w:sz w:val="20"/>
                <w:szCs w:val="20"/>
              </w:rPr>
              <w:t>reduction</w:t>
            </w:r>
            <w:r>
              <w:rPr>
                <w:rFonts w:cs="Arial"/>
                <w:sz w:val="20"/>
                <w:szCs w:val="20"/>
              </w:rPr>
              <w:t xml:space="preserve"> to the minimum </w:t>
            </w:r>
            <w:r w:rsidR="00CC4FD9">
              <w:rPr>
                <w:rFonts w:cs="Arial"/>
                <w:sz w:val="20"/>
                <w:szCs w:val="20"/>
              </w:rPr>
              <w:t xml:space="preserve">protein </w:t>
            </w:r>
            <w:r>
              <w:rPr>
                <w:rFonts w:cs="Arial"/>
                <w:sz w:val="20"/>
                <w:szCs w:val="20"/>
              </w:rPr>
              <w:t xml:space="preserve">requirement for </w:t>
            </w:r>
            <w:r w:rsidR="0031740B">
              <w:rPr>
                <w:rFonts w:cs="Arial"/>
                <w:sz w:val="20"/>
                <w:szCs w:val="20"/>
              </w:rPr>
              <w:t xml:space="preserve">milk-based follow-on formula </w:t>
            </w:r>
            <w:r>
              <w:rPr>
                <w:rFonts w:cs="Arial"/>
                <w:sz w:val="20"/>
                <w:szCs w:val="20"/>
              </w:rPr>
              <w:t>is consistent with current national nutrition polic</w:t>
            </w:r>
            <w:r w:rsidR="00757B38">
              <w:rPr>
                <w:rFonts w:cs="Arial"/>
                <w:sz w:val="20"/>
                <w:szCs w:val="20"/>
              </w:rPr>
              <w:t>i</w:t>
            </w:r>
            <w:r>
              <w:rPr>
                <w:rFonts w:cs="Arial"/>
                <w:sz w:val="20"/>
                <w:szCs w:val="20"/>
              </w:rPr>
              <w:t>es and guidelines for infant feeding</w:t>
            </w:r>
            <w:r w:rsidR="00610742">
              <w:rPr>
                <w:rFonts w:cs="Arial"/>
                <w:sz w:val="20"/>
                <w:szCs w:val="20"/>
              </w:rPr>
              <w:t>.</w:t>
            </w:r>
            <w:r w:rsidR="00757B38">
              <w:rPr>
                <w:rFonts w:cs="Arial"/>
                <w:sz w:val="20"/>
                <w:szCs w:val="20"/>
              </w:rPr>
              <w:t xml:space="preserve"> </w:t>
            </w:r>
            <w:r w:rsidR="0031740B">
              <w:rPr>
                <w:rFonts w:cs="Arial"/>
                <w:sz w:val="20"/>
                <w:szCs w:val="20"/>
              </w:rPr>
              <w:t xml:space="preserve">The </w:t>
            </w:r>
            <w:r w:rsidR="00610742">
              <w:rPr>
                <w:rFonts w:cs="Arial"/>
                <w:sz w:val="20"/>
                <w:szCs w:val="20"/>
              </w:rPr>
              <w:t xml:space="preserve">Australian </w:t>
            </w:r>
            <w:r w:rsidR="009401CE">
              <w:rPr>
                <w:rFonts w:cs="Arial"/>
                <w:sz w:val="20"/>
                <w:szCs w:val="20"/>
              </w:rPr>
              <w:t>infant feeding guidelines advise caregivers to look for lower protein content when choosing a formula product</w:t>
            </w:r>
            <w:r w:rsidR="00610742">
              <w:rPr>
                <w:rFonts w:cs="Arial"/>
                <w:sz w:val="20"/>
                <w:szCs w:val="20"/>
              </w:rPr>
              <w:t xml:space="preserve"> (</w:t>
            </w:r>
            <w:r w:rsidR="00610742">
              <w:rPr>
                <w:sz w:val="20"/>
                <w:szCs w:val="20"/>
                <w:lang w:bidi="ar-SA"/>
              </w:rPr>
              <w:t xml:space="preserve">NHMRC </w:t>
            </w:r>
            <w:r w:rsidR="00610742" w:rsidRPr="005F5D83">
              <w:rPr>
                <w:sz w:val="20"/>
                <w:szCs w:val="20"/>
                <w:lang w:bidi="ar-SA"/>
              </w:rPr>
              <w:t>2012)</w:t>
            </w:r>
            <w:r w:rsidR="00610742">
              <w:rPr>
                <w:rFonts w:cs="Arial"/>
                <w:sz w:val="20"/>
                <w:szCs w:val="20"/>
              </w:rPr>
              <w:t>.</w:t>
            </w:r>
            <w:r>
              <w:rPr>
                <w:rFonts w:cs="Arial"/>
                <w:sz w:val="20"/>
                <w:szCs w:val="20"/>
              </w:rPr>
              <w:t xml:space="preserve"> </w:t>
            </w:r>
          </w:p>
        </w:tc>
        <w:tc>
          <w:tcPr>
            <w:tcW w:w="2584" w:type="dxa"/>
          </w:tcPr>
          <w:p w14:paraId="3BA9D155" w14:textId="6327C8B3" w:rsidR="007748F8" w:rsidRPr="002F4A05" w:rsidRDefault="00610742" w:rsidP="00A47128">
            <w:pPr>
              <w:spacing w:before="120" w:after="120"/>
              <w:rPr>
                <w:rFonts w:cs="Arial"/>
                <w:sz w:val="20"/>
                <w:szCs w:val="20"/>
              </w:rPr>
            </w:pPr>
            <w:r>
              <w:rPr>
                <w:rFonts w:cs="Arial"/>
                <w:sz w:val="20"/>
                <w:szCs w:val="20"/>
              </w:rPr>
              <w:t>Yes</w:t>
            </w:r>
          </w:p>
        </w:tc>
      </w:tr>
      <w:tr w:rsidR="00005D31" w:rsidRPr="002F4A05" w14:paraId="3BA9D15A" w14:textId="77777777" w:rsidTr="00610742">
        <w:trPr>
          <w:cantSplit/>
        </w:trPr>
        <w:tc>
          <w:tcPr>
            <w:tcW w:w="5795" w:type="dxa"/>
          </w:tcPr>
          <w:p w14:paraId="3BA9D157" w14:textId="77777777" w:rsidR="007748F8" w:rsidRPr="002F4A05" w:rsidRDefault="007748F8" w:rsidP="00A47128">
            <w:pPr>
              <w:spacing w:before="120" w:after="120"/>
              <w:rPr>
                <w:rFonts w:cs="Arial"/>
                <w:b/>
                <w:sz w:val="20"/>
                <w:szCs w:val="20"/>
              </w:rPr>
            </w:pPr>
            <w:r w:rsidRPr="002F4A05">
              <w:rPr>
                <w:rFonts w:cs="Arial"/>
                <w:sz w:val="20"/>
                <w:szCs w:val="20"/>
              </w:rPr>
              <w:lastRenderedPageBreak/>
              <w:t>(c) The regulation of infant formula products should be based on risk analysis, taking into account the vulnerability of the population for whom they are intended and the importance of these products in the diets of formula fed infants.</w:t>
            </w:r>
          </w:p>
        </w:tc>
        <w:tc>
          <w:tcPr>
            <w:tcW w:w="5795" w:type="dxa"/>
          </w:tcPr>
          <w:p w14:paraId="3BA9D158" w14:textId="7A45D582" w:rsidR="007748F8" w:rsidRPr="00E332E3" w:rsidRDefault="007748F8" w:rsidP="0031740B">
            <w:pPr>
              <w:spacing w:before="120" w:after="120"/>
              <w:rPr>
                <w:rFonts w:cs="Arial"/>
                <w:sz w:val="20"/>
                <w:szCs w:val="20"/>
              </w:rPr>
            </w:pPr>
            <w:r>
              <w:rPr>
                <w:rFonts w:cs="Arial"/>
                <w:sz w:val="20"/>
                <w:szCs w:val="20"/>
              </w:rPr>
              <w:t xml:space="preserve">A nutritional safety assessment was </w:t>
            </w:r>
            <w:r w:rsidR="0031740B">
              <w:rPr>
                <w:rFonts w:cs="Arial"/>
                <w:sz w:val="20"/>
                <w:szCs w:val="20"/>
              </w:rPr>
              <w:t>conducted</w:t>
            </w:r>
            <w:r>
              <w:rPr>
                <w:rFonts w:cs="Arial"/>
                <w:sz w:val="20"/>
                <w:szCs w:val="20"/>
              </w:rPr>
              <w:t xml:space="preserve"> for the assessment of this Application.</w:t>
            </w:r>
          </w:p>
        </w:tc>
        <w:tc>
          <w:tcPr>
            <w:tcW w:w="2584" w:type="dxa"/>
          </w:tcPr>
          <w:p w14:paraId="3BA9D159" w14:textId="77777777" w:rsidR="007748F8" w:rsidRPr="002F4A05" w:rsidRDefault="007748F8" w:rsidP="00A47128">
            <w:pPr>
              <w:spacing w:before="120" w:after="120"/>
              <w:rPr>
                <w:rFonts w:cs="Arial"/>
                <w:sz w:val="20"/>
                <w:szCs w:val="20"/>
              </w:rPr>
            </w:pPr>
            <w:r>
              <w:rPr>
                <w:rFonts w:cs="Arial"/>
                <w:sz w:val="20"/>
                <w:szCs w:val="20"/>
              </w:rPr>
              <w:t>Yes</w:t>
            </w:r>
          </w:p>
        </w:tc>
      </w:tr>
      <w:tr w:rsidR="007748F8" w:rsidRPr="002F4A05" w14:paraId="3BA9D15C" w14:textId="77777777" w:rsidTr="00A47128">
        <w:tc>
          <w:tcPr>
            <w:tcW w:w="14174" w:type="dxa"/>
            <w:gridSpan w:val="3"/>
          </w:tcPr>
          <w:p w14:paraId="3BA9D15B" w14:textId="77777777" w:rsidR="007748F8" w:rsidRPr="002F4A05" w:rsidRDefault="007748F8" w:rsidP="00A47128">
            <w:pPr>
              <w:spacing w:before="120" w:after="120"/>
              <w:rPr>
                <w:rFonts w:cs="Arial"/>
                <w:b/>
                <w:sz w:val="20"/>
                <w:szCs w:val="20"/>
              </w:rPr>
            </w:pPr>
            <w:r w:rsidRPr="002F4A05">
              <w:rPr>
                <w:rFonts w:cs="Arial"/>
                <w:b/>
                <w:i/>
                <w:sz w:val="20"/>
                <w:szCs w:val="20"/>
              </w:rPr>
              <w:t>Composition</w:t>
            </w:r>
          </w:p>
        </w:tc>
      </w:tr>
      <w:tr w:rsidR="00005D31" w:rsidRPr="002F4A05" w14:paraId="3BA9D166" w14:textId="77777777" w:rsidTr="00A47128">
        <w:tc>
          <w:tcPr>
            <w:tcW w:w="5795" w:type="dxa"/>
          </w:tcPr>
          <w:p w14:paraId="3BA9D163" w14:textId="77777777" w:rsidR="007748F8" w:rsidRPr="002F4A05" w:rsidRDefault="007748F8" w:rsidP="00A47128">
            <w:pPr>
              <w:spacing w:before="120" w:after="120"/>
              <w:rPr>
                <w:rFonts w:cs="Arial"/>
                <w:sz w:val="20"/>
                <w:szCs w:val="20"/>
              </w:rPr>
            </w:pPr>
            <w:r w:rsidRPr="002F4A05">
              <w:rPr>
                <w:rFonts w:cs="Arial"/>
                <w:sz w:val="20"/>
                <w:szCs w:val="20"/>
              </w:rPr>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5795" w:type="dxa"/>
          </w:tcPr>
          <w:p w14:paraId="590FCD54" w14:textId="50C0CF17" w:rsidR="00610742" w:rsidRDefault="009401CE" w:rsidP="00A65433">
            <w:pPr>
              <w:spacing w:before="120" w:after="120"/>
              <w:rPr>
                <w:sz w:val="20"/>
                <w:lang w:val="en-AU"/>
              </w:rPr>
            </w:pPr>
            <w:r w:rsidRPr="00005D31">
              <w:rPr>
                <w:sz w:val="20"/>
                <w:lang w:val="en-AU"/>
              </w:rPr>
              <w:t xml:space="preserve">The nutritional safety assessment </w:t>
            </w:r>
            <w:r w:rsidR="00005D31" w:rsidRPr="00005D31">
              <w:rPr>
                <w:sz w:val="20"/>
                <w:lang w:val="en-AU"/>
              </w:rPr>
              <w:t xml:space="preserve">reviewed two RCTs examining growth of infants fed lower protein formula. Both studies compared weight gain and anthropometric measures between a low protein and high protein formula and a breastfed reference group. </w:t>
            </w:r>
          </w:p>
          <w:p w14:paraId="3BA9D164" w14:textId="0EDC9B6B" w:rsidR="007748F8" w:rsidRPr="002F4A05" w:rsidRDefault="00610742" w:rsidP="00A65433">
            <w:pPr>
              <w:spacing w:before="120" w:after="120"/>
              <w:rPr>
                <w:rFonts w:cs="Arial"/>
                <w:sz w:val="20"/>
                <w:szCs w:val="20"/>
              </w:rPr>
            </w:pPr>
            <w:r>
              <w:rPr>
                <w:sz w:val="20"/>
                <w:lang w:val="en-AU"/>
              </w:rPr>
              <w:t>In general, f</w:t>
            </w:r>
            <w:r w:rsidR="009401CE" w:rsidRPr="00005D31">
              <w:rPr>
                <w:sz w:val="20"/>
                <w:lang w:val="en-AU"/>
              </w:rPr>
              <w:t>ormula-fed infants demonstrate faster weight gain compared with breastfed infants</w:t>
            </w:r>
            <w:r w:rsidR="00005D31" w:rsidRPr="00005D31">
              <w:rPr>
                <w:sz w:val="20"/>
                <w:lang w:val="en-AU"/>
              </w:rPr>
              <w:t xml:space="preserve">. </w:t>
            </w:r>
            <w:r w:rsidR="009401CE" w:rsidRPr="00005D31">
              <w:rPr>
                <w:sz w:val="20"/>
                <w:lang w:val="en-AU"/>
              </w:rPr>
              <w:t>Therefore, slower weight gain that is more comparable to breastfed infants is assumed to be advantageous.</w:t>
            </w:r>
            <w:r w:rsidR="00005D31">
              <w:rPr>
                <w:sz w:val="20"/>
                <w:lang w:val="en-AU"/>
              </w:rPr>
              <w:t xml:space="preserve"> The assessment concluded </w:t>
            </w:r>
            <w:r w:rsidR="00005D31" w:rsidRPr="00005D31">
              <w:rPr>
                <w:sz w:val="20"/>
                <w:lang w:val="en-AU"/>
              </w:rPr>
              <w:t xml:space="preserve">that both studies </w:t>
            </w:r>
            <w:r w:rsidR="00005D31">
              <w:rPr>
                <w:sz w:val="20"/>
                <w:lang w:val="en-AU"/>
              </w:rPr>
              <w:t xml:space="preserve">reported </w:t>
            </w:r>
            <w:r w:rsidR="00005D31" w:rsidRPr="00005D31">
              <w:rPr>
                <w:sz w:val="20"/>
                <w:lang w:val="en-AU"/>
              </w:rPr>
              <w:t>slightly lower growth rates in the lower protein formula fed infants</w:t>
            </w:r>
            <w:r w:rsidR="00005D31">
              <w:rPr>
                <w:sz w:val="20"/>
                <w:lang w:val="en-AU"/>
              </w:rPr>
              <w:t xml:space="preserve">, showing </w:t>
            </w:r>
            <w:r w:rsidR="00005D31" w:rsidRPr="00005D31">
              <w:rPr>
                <w:sz w:val="20"/>
                <w:lang w:val="en-AU"/>
              </w:rPr>
              <w:t>a consiste</w:t>
            </w:r>
            <w:r w:rsidR="00005D31">
              <w:rPr>
                <w:sz w:val="20"/>
                <w:lang w:val="en-AU"/>
              </w:rPr>
              <w:t>nt direction of the association of lower protein with growth trajectories similar to breas</w:t>
            </w:r>
            <w:r w:rsidR="0031740B">
              <w:rPr>
                <w:sz w:val="20"/>
                <w:lang w:val="en-AU"/>
              </w:rPr>
              <w:t>t</w:t>
            </w:r>
            <w:r w:rsidR="00005D31">
              <w:rPr>
                <w:sz w:val="20"/>
                <w:lang w:val="en-AU"/>
              </w:rPr>
              <w:t xml:space="preserve">fed infants. </w:t>
            </w:r>
          </w:p>
        </w:tc>
        <w:tc>
          <w:tcPr>
            <w:tcW w:w="2584" w:type="dxa"/>
          </w:tcPr>
          <w:p w14:paraId="3BA9D165"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6A" w14:textId="77777777" w:rsidTr="007A1827">
        <w:tc>
          <w:tcPr>
            <w:tcW w:w="5700" w:type="dxa"/>
          </w:tcPr>
          <w:p w14:paraId="3BA9D167" w14:textId="77777777" w:rsidR="007748F8" w:rsidRPr="002F4A05" w:rsidRDefault="007748F8" w:rsidP="00A47128">
            <w:pPr>
              <w:spacing w:before="120" w:after="120"/>
              <w:rPr>
                <w:rFonts w:cs="Arial"/>
                <w:sz w:val="20"/>
                <w:szCs w:val="20"/>
              </w:rPr>
            </w:pPr>
            <w:r w:rsidRPr="002F4A05">
              <w:rPr>
                <w:rFonts w:cs="Arial"/>
                <w:sz w:val="20"/>
                <w:szCs w:val="20"/>
              </w:rPr>
              <w:t>(f) The essential composition of infant formula and follow on formula should be prescribed in regulation and must satisfy the nutritional requirements of infants.</w:t>
            </w:r>
          </w:p>
        </w:tc>
        <w:tc>
          <w:tcPr>
            <w:tcW w:w="5693" w:type="dxa"/>
          </w:tcPr>
          <w:p w14:paraId="3BA9D168" w14:textId="1EA94AE4" w:rsidR="007748F8" w:rsidRPr="00B20E3B" w:rsidRDefault="00091CDC" w:rsidP="00035623">
            <w:pPr>
              <w:spacing w:before="120" w:after="120"/>
              <w:rPr>
                <w:rFonts w:cs="Arial"/>
                <w:sz w:val="20"/>
                <w:szCs w:val="20"/>
              </w:rPr>
            </w:pPr>
            <w:r>
              <w:rPr>
                <w:rFonts w:cs="Arial"/>
                <w:sz w:val="20"/>
                <w:szCs w:val="20"/>
              </w:rPr>
              <w:t>Protein is an essential macronutrient and</w:t>
            </w:r>
            <w:r w:rsidR="007748F8" w:rsidRPr="002F4A05">
              <w:rPr>
                <w:rFonts w:cs="Arial"/>
                <w:sz w:val="20"/>
                <w:szCs w:val="20"/>
              </w:rPr>
              <w:t xml:space="preserve"> </w:t>
            </w:r>
            <w:r w:rsidR="007748F8">
              <w:rPr>
                <w:rFonts w:cs="Arial"/>
                <w:sz w:val="20"/>
                <w:szCs w:val="20"/>
              </w:rPr>
              <w:t xml:space="preserve">a minimum </w:t>
            </w:r>
            <w:r w:rsidR="0031740B">
              <w:rPr>
                <w:rFonts w:cs="Arial"/>
                <w:sz w:val="20"/>
                <w:szCs w:val="20"/>
              </w:rPr>
              <w:t>requirement</w:t>
            </w:r>
            <w:r w:rsidR="007748F8">
              <w:rPr>
                <w:rFonts w:cs="Arial"/>
                <w:sz w:val="20"/>
                <w:szCs w:val="20"/>
              </w:rPr>
              <w:t xml:space="preserve"> is already </w:t>
            </w:r>
            <w:r w:rsidR="0031740B">
              <w:rPr>
                <w:rFonts w:cs="Arial"/>
                <w:sz w:val="20"/>
                <w:szCs w:val="20"/>
              </w:rPr>
              <w:t>given</w:t>
            </w:r>
            <w:r w:rsidR="007748F8">
              <w:rPr>
                <w:rFonts w:cs="Arial"/>
                <w:sz w:val="20"/>
                <w:szCs w:val="20"/>
              </w:rPr>
              <w:t xml:space="preserve"> in Standard 2.9.1 to provide for the nutritional requirements of formula-fed infants. </w:t>
            </w:r>
            <w:r w:rsidR="00035623">
              <w:rPr>
                <w:rFonts w:cs="Arial"/>
                <w:sz w:val="20"/>
                <w:szCs w:val="20"/>
              </w:rPr>
              <w:t>T</w:t>
            </w:r>
            <w:r w:rsidR="0031740B">
              <w:rPr>
                <w:rFonts w:cs="Arial"/>
                <w:sz w:val="20"/>
                <w:szCs w:val="20"/>
              </w:rPr>
              <w:t>he protein requirements of older infants continue to be satisfied when fed a lower protein follow-on formula</w:t>
            </w:r>
            <w:r w:rsidR="00035623">
              <w:rPr>
                <w:rFonts w:cs="Arial"/>
                <w:sz w:val="20"/>
                <w:szCs w:val="20"/>
              </w:rPr>
              <w:t xml:space="preserve"> in addition to complementary foods</w:t>
            </w:r>
            <w:r w:rsidR="0031740B">
              <w:rPr>
                <w:rFonts w:cs="Arial"/>
                <w:sz w:val="20"/>
                <w:szCs w:val="20"/>
              </w:rPr>
              <w:t xml:space="preserve">. </w:t>
            </w:r>
          </w:p>
        </w:tc>
        <w:tc>
          <w:tcPr>
            <w:tcW w:w="2555" w:type="dxa"/>
          </w:tcPr>
          <w:p w14:paraId="3BA9D169"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6E" w14:textId="77777777" w:rsidTr="00091CDC">
        <w:tc>
          <w:tcPr>
            <w:tcW w:w="5700" w:type="dxa"/>
          </w:tcPr>
          <w:p w14:paraId="3BA9D16B" w14:textId="77777777" w:rsidR="007748F8" w:rsidRPr="002F4A05" w:rsidRDefault="007748F8" w:rsidP="00A65433">
            <w:pPr>
              <w:widowControl/>
              <w:spacing w:before="120" w:after="120"/>
              <w:rPr>
                <w:rFonts w:cs="Arial"/>
                <w:sz w:val="20"/>
                <w:szCs w:val="20"/>
              </w:rPr>
            </w:pPr>
            <w:r w:rsidRPr="002F4A05">
              <w:rPr>
                <w:rFonts w:cs="Arial"/>
                <w:sz w:val="20"/>
                <w:szCs w:val="20"/>
              </w:rPr>
              <w:t xml:space="preserve">(g) Compositional requirements for infant formula and follow-on formula products should only be mandated in regulation where there is sufficient evidence to demonstrate that they </w:t>
            </w:r>
            <w:r w:rsidRPr="002F4A05">
              <w:rPr>
                <w:rFonts w:cs="Arial"/>
                <w:sz w:val="20"/>
                <w:szCs w:val="20"/>
              </w:rPr>
              <w:lastRenderedPageBreak/>
              <w:t>are safe and essential for normal growth and development of infants.</w:t>
            </w:r>
          </w:p>
        </w:tc>
        <w:tc>
          <w:tcPr>
            <w:tcW w:w="5693" w:type="dxa"/>
          </w:tcPr>
          <w:p w14:paraId="3BA9D16C" w14:textId="01FD10CE" w:rsidR="007748F8" w:rsidRPr="002F4A05" w:rsidRDefault="00005D31" w:rsidP="00035623">
            <w:pPr>
              <w:spacing w:before="120" w:after="120"/>
              <w:rPr>
                <w:rFonts w:cs="Arial"/>
                <w:b/>
                <w:sz w:val="20"/>
                <w:szCs w:val="20"/>
              </w:rPr>
            </w:pPr>
            <w:r>
              <w:rPr>
                <w:rFonts w:cs="Arial"/>
                <w:sz w:val="20"/>
                <w:szCs w:val="20"/>
              </w:rPr>
              <w:lastRenderedPageBreak/>
              <w:t xml:space="preserve">Refer </w:t>
            </w:r>
            <w:r w:rsidR="00035623">
              <w:rPr>
                <w:rFonts w:cs="Arial"/>
                <w:sz w:val="20"/>
                <w:szCs w:val="20"/>
              </w:rPr>
              <w:t xml:space="preserve">to responses for </w:t>
            </w:r>
            <w:r>
              <w:rPr>
                <w:rFonts w:cs="Arial"/>
                <w:sz w:val="20"/>
                <w:szCs w:val="20"/>
              </w:rPr>
              <w:t>(</w:t>
            </w:r>
            <w:r w:rsidR="00035623">
              <w:rPr>
                <w:rFonts w:cs="Arial"/>
                <w:sz w:val="20"/>
                <w:szCs w:val="20"/>
              </w:rPr>
              <w:t>e)</w:t>
            </w:r>
            <w:r w:rsidR="00091CDC">
              <w:rPr>
                <w:rFonts w:cs="Arial"/>
                <w:sz w:val="20"/>
                <w:szCs w:val="20"/>
              </w:rPr>
              <w:t xml:space="preserve"> </w:t>
            </w:r>
            <w:r w:rsidR="00035623">
              <w:rPr>
                <w:rFonts w:cs="Arial"/>
                <w:sz w:val="20"/>
                <w:szCs w:val="20"/>
              </w:rPr>
              <w:t>and (f)</w:t>
            </w:r>
            <w:r w:rsidR="007748F8" w:rsidRPr="002F4A05">
              <w:rPr>
                <w:rFonts w:cs="Arial"/>
                <w:sz w:val="20"/>
                <w:szCs w:val="20"/>
              </w:rPr>
              <w:t xml:space="preserve"> </w:t>
            </w:r>
          </w:p>
        </w:tc>
        <w:tc>
          <w:tcPr>
            <w:tcW w:w="2555" w:type="dxa"/>
            <w:shd w:val="clear" w:color="auto" w:fill="D9D9D9" w:themeFill="background1" w:themeFillShade="D9"/>
          </w:tcPr>
          <w:p w14:paraId="3BA9D16D" w14:textId="2B3E667C" w:rsidR="007748F8" w:rsidRPr="002F4A05" w:rsidRDefault="007748F8" w:rsidP="00A47128">
            <w:pPr>
              <w:spacing w:before="120" w:after="120"/>
              <w:rPr>
                <w:rFonts w:cs="Arial"/>
                <w:sz w:val="20"/>
                <w:szCs w:val="20"/>
              </w:rPr>
            </w:pPr>
          </w:p>
        </w:tc>
      </w:tr>
      <w:tr w:rsidR="00005D31" w:rsidRPr="002F4A05" w14:paraId="3BA9D173" w14:textId="77777777" w:rsidTr="007A1827">
        <w:trPr>
          <w:cantSplit/>
        </w:trPr>
        <w:tc>
          <w:tcPr>
            <w:tcW w:w="5700" w:type="dxa"/>
          </w:tcPr>
          <w:p w14:paraId="3BA9D16F" w14:textId="77777777" w:rsidR="007748F8" w:rsidRPr="002F4A05" w:rsidRDefault="007748F8" w:rsidP="00A47128">
            <w:pPr>
              <w:spacing w:before="120" w:after="120"/>
              <w:rPr>
                <w:rFonts w:cs="Arial"/>
                <w:sz w:val="20"/>
                <w:szCs w:val="20"/>
              </w:rPr>
            </w:pPr>
            <w:r w:rsidRPr="002F4A05">
              <w:rPr>
                <w:rFonts w:cs="Arial"/>
                <w:sz w:val="20"/>
                <w:szCs w:val="20"/>
              </w:rPr>
              <w:t>(h) The composition of breast milk should be used as a primary reference for determining the composition of infant formula and follow-on formula.</w:t>
            </w:r>
          </w:p>
        </w:tc>
        <w:tc>
          <w:tcPr>
            <w:tcW w:w="5693" w:type="dxa"/>
          </w:tcPr>
          <w:p w14:paraId="3BA9D171" w14:textId="5E4179A5" w:rsidR="007748F8" w:rsidRPr="00E2575C" w:rsidRDefault="007748F8" w:rsidP="00035623">
            <w:pPr>
              <w:spacing w:before="120" w:after="120"/>
              <w:rPr>
                <w:rFonts w:cs="Arial"/>
                <w:sz w:val="20"/>
                <w:szCs w:val="20"/>
              </w:rPr>
            </w:pPr>
            <w:r w:rsidRPr="002F4A05">
              <w:rPr>
                <w:rFonts w:cs="Arial"/>
                <w:sz w:val="20"/>
                <w:szCs w:val="20"/>
              </w:rPr>
              <w:t>The</w:t>
            </w:r>
            <w:r w:rsidR="00005D31">
              <w:rPr>
                <w:rFonts w:cs="Arial"/>
                <w:sz w:val="20"/>
                <w:szCs w:val="20"/>
              </w:rPr>
              <w:t xml:space="preserve"> </w:t>
            </w:r>
            <w:r w:rsidR="00005D31" w:rsidRPr="00035623">
              <w:rPr>
                <w:rFonts w:cs="Arial"/>
                <w:sz w:val="20"/>
                <w:szCs w:val="20"/>
              </w:rPr>
              <w:t xml:space="preserve">crude </w:t>
            </w:r>
            <w:r w:rsidR="00005D31">
              <w:rPr>
                <w:rFonts w:cs="Arial"/>
                <w:sz w:val="20"/>
                <w:szCs w:val="20"/>
              </w:rPr>
              <w:t xml:space="preserve">content of human milk was reviewed and used as the primary reference. </w:t>
            </w:r>
            <w:r>
              <w:rPr>
                <w:rFonts w:cs="Arial"/>
                <w:sz w:val="20"/>
                <w:szCs w:val="20"/>
              </w:rPr>
              <w:t xml:space="preserve">The Nutritional Safety Assessment found that the </w:t>
            </w:r>
            <w:r w:rsidR="00005D31">
              <w:rPr>
                <w:rFonts w:cs="Arial"/>
                <w:sz w:val="20"/>
                <w:szCs w:val="20"/>
              </w:rPr>
              <w:t xml:space="preserve">lower minimum protein level requested by the applicant was within the range found in human milk </w:t>
            </w:r>
            <w:r w:rsidR="0031740B">
              <w:rPr>
                <w:rFonts w:cs="Arial"/>
                <w:sz w:val="20"/>
                <w:szCs w:val="20"/>
              </w:rPr>
              <w:t>5</w:t>
            </w:r>
            <w:r w:rsidR="00005D31">
              <w:rPr>
                <w:rFonts w:cs="Arial"/>
                <w:sz w:val="20"/>
                <w:szCs w:val="20"/>
              </w:rPr>
              <w:t xml:space="preserve"> to 12 months post-partum</w:t>
            </w:r>
            <w:r w:rsidR="0031740B">
              <w:rPr>
                <w:rFonts w:cs="Arial"/>
                <w:sz w:val="20"/>
                <w:szCs w:val="20"/>
              </w:rPr>
              <w:t>.</w:t>
            </w:r>
          </w:p>
        </w:tc>
        <w:tc>
          <w:tcPr>
            <w:tcW w:w="2555" w:type="dxa"/>
          </w:tcPr>
          <w:p w14:paraId="3BA9D172" w14:textId="77777777" w:rsidR="007748F8" w:rsidRPr="002F4A05" w:rsidRDefault="007748F8" w:rsidP="00A47128">
            <w:pPr>
              <w:spacing w:before="120" w:after="120"/>
              <w:rPr>
                <w:rFonts w:cs="Arial"/>
                <w:sz w:val="20"/>
                <w:szCs w:val="20"/>
              </w:rPr>
            </w:pPr>
            <w:r w:rsidRPr="002F4A05">
              <w:rPr>
                <w:rFonts w:cs="Arial"/>
                <w:sz w:val="20"/>
                <w:szCs w:val="20"/>
              </w:rPr>
              <w:t>Yes</w:t>
            </w:r>
          </w:p>
        </w:tc>
      </w:tr>
      <w:tr w:rsidR="00005D31" w:rsidRPr="002F4A05" w14:paraId="3BA9D17A" w14:textId="77777777" w:rsidTr="007A1827">
        <w:tc>
          <w:tcPr>
            <w:tcW w:w="5700" w:type="dxa"/>
          </w:tcPr>
          <w:p w14:paraId="3BA9D174" w14:textId="77777777" w:rsidR="007748F8" w:rsidRPr="002F4A05" w:rsidRDefault="007748F8" w:rsidP="00A47128">
            <w:pPr>
              <w:spacing w:before="120" w:after="120"/>
              <w:rPr>
                <w:rFonts w:cs="Arial"/>
                <w:sz w:val="20"/>
                <w:szCs w:val="20"/>
              </w:rPr>
            </w:pPr>
            <w:r w:rsidRPr="002F4A05">
              <w:rPr>
                <w:rFonts w:cs="Arial"/>
                <w:sz w:val="20"/>
                <w:szCs w:val="20"/>
              </w:rPr>
              <w:t>(i) Pre-market assessment, relative to principles (d) and (e), should be required for any substance proposed to be used in infant formula and follow-on formula that:</w:t>
            </w:r>
          </w:p>
          <w:p w14:paraId="3BA9D175" w14:textId="77777777" w:rsidR="007748F8" w:rsidRPr="002F4A05" w:rsidRDefault="007748F8" w:rsidP="00A47128">
            <w:pPr>
              <w:spacing w:before="120" w:after="120"/>
              <w:ind w:left="284"/>
              <w:rPr>
                <w:rFonts w:cs="Arial"/>
                <w:sz w:val="20"/>
                <w:szCs w:val="20"/>
              </w:rPr>
            </w:pPr>
            <w:r w:rsidRPr="002F4A05">
              <w:rPr>
                <w:rFonts w:cs="Arial"/>
                <w:sz w:val="20"/>
                <w:szCs w:val="20"/>
              </w:rPr>
              <w:t>i. does not have a history of safe use at the proposed level in these products in Australia and New Zealand; or</w:t>
            </w:r>
          </w:p>
          <w:p w14:paraId="3BA9D176" w14:textId="77777777" w:rsidR="007748F8" w:rsidRPr="002F4A05" w:rsidRDefault="007748F8" w:rsidP="00A47128">
            <w:pPr>
              <w:spacing w:before="120" w:after="120"/>
              <w:ind w:left="284"/>
              <w:rPr>
                <w:rFonts w:cs="Arial"/>
                <w:sz w:val="20"/>
                <w:szCs w:val="20"/>
              </w:rPr>
            </w:pPr>
            <w:r w:rsidRPr="002F4A05">
              <w:rPr>
                <w:rFonts w:cs="Arial"/>
                <w:sz w:val="20"/>
                <w:szCs w:val="20"/>
              </w:rPr>
              <w:t>ii. has a history of safe use in these products in Australia and New Zealand, but which, having regard to source, has a different form/structure, or is produced using a substantially different technique or technology.</w:t>
            </w:r>
          </w:p>
        </w:tc>
        <w:tc>
          <w:tcPr>
            <w:tcW w:w="5693" w:type="dxa"/>
          </w:tcPr>
          <w:p w14:paraId="3BA9D177" w14:textId="053AC1B7" w:rsidR="007748F8" w:rsidRPr="002F4A05" w:rsidRDefault="007748F8" w:rsidP="00A47128">
            <w:pPr>
              <w:spacing w:before="120" w:after="120"/>
              <w:rPr>
                <w:rFonts w:cs="Arial"/>
                <w:sz w:val="20"/>
                <w:szCs w:val="20"/>
              </w:rPr>
            </w:pPr>
            <w:r w:rsidRPr="002F4A05">
              <w:rPr>
                <w:rFonts w:cs="Arial"/>
                <w:sz w:val="20"/>
                <w:szCs w:val="20"/>
              </w:rPr>
              <w:t xml:space="preserve">Not applicable to this Application as </w:t>
            </w:r>
            <w:r w:rsidR="00005D31">
              <w:rPr>
                <w:rFonts w:cs="Arial"/>
                <w:sz w:val="20"/>
                <w:szCs w:val="20"/>
              </w:rPr>
              <w:t xml:space="preserve">protein </w:t>
            </w:r>
            <w:r w:rsidRPr="002F4A05">
              <w:rPr>
                <w:rFonts w:cs="Arial"/>
                <w:sz w:val="20"/>
                <w:szCs w:val="20"/>
              </w:rPr>
              <w:t xml:space="preserve">is </w:t>
            </w:r>
            <w:r w:rsidR="0031740B">
              <w:rPr>
                <w:rFonts w:cs="Arial"/>
                <w:sz w:val="20"/>
                <w:szCs w:val="20"/>
              </w:rPr>
              <w:t>already r</w:t>
            </w:r>
            <w:r w:rsidRPr="002F4A05">
              <w:rPr>
                <w:rFonts w:cs="Arial"/>
                <w:sz w:val="20"/>
                <w:szCs w:val="20"/>
              </w:rPr>
              <w:t>egulated.</w:t>
            </w:r>
          </w:p>
          <w:p w14:paraId="3BA9D178" w14:textId="77777777" w:rsidR="007748F8" w:rsidRPr="002F4A05" w:rsidRDefault="007748F8" w:rsidP="00A47128">
            <w:pPr>
              <w:spacing w:before="120" w:after="120"/>
              <w:rPr>
                <w:rFonts w:cs="Arial"/>
                <w:sz w:val="20"/>
                <w:szCs w:val="20"/>
              </w:rPr>
            </w:pPr>
          </w:p>
        </w:tc>
        <w:tc>
          <w:tcPr>
            <w:tcW w:w="2555" w:type="dxa"/>
          </w:tcPr>
          <w:p w14:paraId="3BA9D179" w14:textId="77777777" w:rsidR="007748F8" w:rsidRPr="002F4A05" w:rsidRDefault="007748F8" w:rsidP="00A47128">
            <w:pPr>
              <w:spacing w:before="120" w:after="120"/>
              <w:rPr>
                <w:rFonts w:cs="Arial"/>
                <w:sz w:val="20"/>
                <w:szCs w:val="20"/>
              </w:rPr>
            </w:pPr>
            <w:r w:rsidRPr="002F4A05">
              <w:rPr>
                <w:rFonts w:cs="Arial"/>
                <w:sz w:val="20"/>
                <w:szCs w:val="20"/>
              </w:rPr>
              <w:t>Not applicable</w:t>
            </w:r>
          </w:p>
        </w:tc>
      </w:tr>
      <w:tr w:rsidR="00005D31" w:rsidRPr="002F4A05" w14:paraId="3BA9D17F" w14:textId="77777777" w:rsidTr="007A1827">
        <w:tc>
          <w:tcPr>
            <w:tcW w:w="5700" w:type="dxa"/>
          </w:tcPr>
          <w:p w14:paraId="3BA9D17B" w14:textId="77777777" w:rsidR="007748F8" w:rsidRPr="002F4A05" w:rsidRDefault="007748F8" w:rsidP="00A47128">
            <w:pPr>
              <w:spacing w:before="120" w:after="120"/>
              <w:rPr>
                <w:rFonts w:cs="Arial"/>
                <w:sz w:val="20"/>
                <w:szCs w:val="20"/>
              </w:rPr>
            </w:pPr>
            <w:r w:rsidRPr="002F4A05">
              <w:rPr>
                <w:rFonts w:cs="Arial"/>
                <w:sz w:val="20"/>
                <w:szCs w:val="20"/>
              </w:rPr>
              <w:t>(j)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and/or functional effects of the substance to specific health outcomes for infants, in infancy or childhood. Particular caution should be applied by the Authority where such links are less clear.</w:t>
            </w:r>
          </w:p>
        </w:tc>
        <w:tc>
          <w:tcPr>
            <w:tcW w:w="5693" w:type="dxa"/>
          </w:tcPr>
          <w:p w14:paraId="59E47D1B" w14:textId="77777777" w:rsidR="00035623" w:rsidRPr="002F4A05" w:rsidRDefault="00035623" w:rsidP="00035623">
            <w:pPr>
              <w:spacing w:before="120" w:after="120"/>
              <w:rPr>
                <w:rFonts w:cs="Arial"/>
                <w:sz w:val="20"/>
                <w:szCs w:val="20"/>
              </w:rPr>
            </w:pPr>
            <w:r w:rsidRPr="002F4A05">
              <w:rPr>
                <w:rFonts w:cs="Arial"/>
                <w:sz w:val="20"/>
                <w:szCs w:val="20"/>
              </w:rPr>
              <w:t xml:space="preserve">Not applicable to this Application as </w:t>
            </w:r>
            <w:r>
              <w:rPr>
                <w:rFonts w:cs="Arial"/>
                <w:sz w:val="20"/>
                <w:szCs w:val="20"/>
              </w:rPr>
              <w:t xml:space="preserve">protein </w:t>
            </w:r>
            <w:r w:rsidRPr="002F4A05">
              <w:rPr>
                <w:rFonts w:cs="Arial"/>
                <w:sz w:val="20"/>
                <w:szCs w:val="20"/>
              </w:rPr>
              <w:t xml:space="preserve">is </w:t>
            </w:r>
            <w:r>
              <w:rPr>
                <w:rFonts w:cs="Arial"/>
                <w:sz w:val="20"/>
                <w:szCs w:val="20"/>
              </w:rPr>
              <w:t>already r</w:t>
            </w:r>
            <w:r w:rsidRPr="002F4A05">
              <w:rPr>
                <w:rFonts w:cs="Arial"/>
                <w:sz w:val="20"/>
                <w:szCs w:val="20"/>
              </w:rPr>
              <w:t>egulated.</w:t>
            </w:r>
          </w:p>
          <w:p w14:paraId="3BA9D17D" w14:textId="77777777" w:rsidR="007748F8" w:rsidRPr="002F4A05" w:rsidRDefault="007748F8" w:rsidP="00A47128">
            <w:pPr>
              <w:spacing w:before="120" w:after="120"/>
              <w:rPr>
                <w:rFonts w:cs="Arial"/>
                <w:sz w:val="20"/>
                <w:szCs w:val="20"/>
              </w:rPr>
            </w:pPr>
          </w:p>
        </w:tc>
        <w:tc>
          <w:tcPr>
            <w:tcW w:w="2555" w:type="dxa"/>
          </w:tcPr>
          <w:p w14:paraId="3BA9D17E" w14:textId="77777777" w:rsidR="007748F8" w:rsidRPr="002F4A05" w:rsidRDefault="007748F8" w:rsidP="00A47128">
            <w:pPr>
              <w:spacing w:before="120" w:after="120"/>
              <w:rPr>
                <w:rFonts w:cs="Arial"/>
                <w:sz w:val="20"/>
                <w:szCs w:val="20"/>
              </w:rPr>
            </w:pPr>
            <w:r w:rsidRPr="002F4A05">
              <w:rPr>
                <w:rFonts w:cs="Arial"/>
                <w:sz w:val="20"/>
                <w:szCs w:val="20"/>
              </w:rPr>
              <w:t>Not applicable</w:t>
            </w:r>
          </w:p>
        </w:tc>
      </w:tr>
      <w:tr w:rsidR="007748F8" w:rsidRPr="002F4A05" w14:paraId="3BA9D181" w14:textId="77777777" w:rsidTr="007A1827">
        <w:tc>
          <w:tcPr>
            <w:tcW w:w="13948" w:type="dxa"/>
            <w:gridSpan w:val="3"/>
          </w:tcPr>
          <w:p w14:paraId="3BA9D180" w14:textId="77777777" w:rsidR="007748F8" w:rsidRPr="002F4A05" w:rsidRDefault="007748F8" w:rsidP="00A47128">
            <w:pPr>
              <w:keepNext/>
              <w:spacing w:before="120" w:after="120"/>
              <w:rPr>
                <w:rFonts w:cs="Arial"/>
                <w:b/>
                <w:sz w:val="20"/>
                <w:szCs w:val="20"/>
              </w:rPr>
            </w:pPr>
            <w:r w:rsidRPr="002F4A05">
              <w:rPr>
                <w:rFonts w:cs="Arial"/>
                <w:b/>
                <w:i/>
                <w:sz w:val="20"/>
                <w:szCs w:val="20"/>
              </w:rPr>
              <w:lastRenderedPageBreak/>
              <w:t>Labelling and advertising</w:t>
            </w:r>
          </w:p>
        </w:tc>
      </w:tr>
      <w:tr w:rsidR="00005D31" w:rsidRPr="002F4A05" w14:paraId="3BA9D188" w14:textId="77777777" w:rsidTr="007A1827">
        <w:tc>
          <w:tcPr>
            <w:tcW w:w="5700" w:type="dxa"/>
          </w:tcPr>
          <w:p w14:paraId="3BA9D182" w14:textId="77777777" w:rsidR="007748F8" w:rsidRPr="002F4A05" w:rsidRDefault="007748F8" w:rsidP="00A47128">
            <w:pPr>
              <w:spacing w:before="120" w:after="120"/>
              <w:rPr>
                <w:rFonts w:cs="Arial"/>
                <w:sz w:val="20"/>
                <w:szCs w:val="20"/>
              </w:rPr>
            </w:pPr>
            <w:r w:rsidRPr="002F4A05">
              <w:rPr>
                <w:rFonts w:cs="Arial"/>
                <w:sz w:val="20"/>
                <w:szCs w:val="20"/>
              </w:rPr>
              <w:t>(k) The labelling and advertising of infant formula products should be consistent with the World Health Organization International Code of Marketing of Breast Milk Substitutes as implemented in Australia and New Zealand.</w:t>
            </w:r>
          </w:p>
        </w:tc>
        <w:tc>
          <w:tcPr>
            <w:tcW w:w="5693" w:type="dxa"/>
            <w:vMerge w:val="restart"/>
          </w:tcPr>
          <w:p w14:paraId="3BA9D183" w14:textId="77777777" w:rsidR="007748F8" w:rsidRPr="00E2575C" w:rsidRDefault="007748F8" w:rsidP="00A47128">
            <w:pPr>
              <w:spacing w:before="120" w:after="120"/>
              <w:rPr>
                <w:rFonts w:cs="Arial"/>
                <w:sz w:val="20"/>
                <w:szCs w:val="20"/>
              </w:rPr>
            </w:pPr>
            <w:r>
              <w:rPr>
                <w:rFonts w:cs="Arial"/>
                <w:sz w:val="20"/>
                <w:szCs w:val="20"/>
              </w:rPr>
              <w:t>N</w:t>
            </w:r>
            <w:r w:rsidRPr="00E2575C">
              <w:rPr>
                <w:rFonts w:cs="Arial"/>
                <w:sz w:val="20"/>
                <w:szCs w:val="20"/>
              </w:rPr>
              <w:t>ot applicable to this Application.</w:t>
            </w:r>
          </w:p>
          <w:p w14:paraId="3BA9D184" w14:textId="17EBF32D" w:rsidR="007748F8" w:rsidRPr="00E2575C" w:rsidRDefault="007748F8" w:rsidP="00A47128">
            <w:pPr>
              <w:spacing w:before="120" w:after="120"/>
              <w:rPr>
                <w:rFonts w:cs="Arial"/>
                <w:sz w:val="20"/>
                <w:szCs w:val="20"/>
              </w:rPr>
            </w:pPr>
            <w:r>
              <w:rPr>
                <w:rFonts w:cs="Arial"/>
                <w:sz w:val="20"/>
                <w:szCs w:val="20"/>
              </w:rPr>
              <w:t>No amendments</w:t>
            </w:r>
            <w:r w:rsidRPr="00E2575C">
              <w:rPr>
                <w:rFonts w:cs="Arial"/>
                <w:sz w:val="20"/>
                <w:szCs w:val="20"/>
              </w:rPr>
              <w:t xml:space="preserve"> to current labelling requirements for </w:t>
            </w:r>
            <w:r w:rsidR="00005D31">
              <w:rPr>
                <w:rFonts w:cs="Arial"/>
                <w:sz w:val="20"/>
                <w:szCs w:val="20"/>
              </w:rPr>
              <w:t xml:space="preserve">protein </w:t>
            </w:r>
            <w:r w:rsidRPr="00E2575C">
              <w:rPr>
                <w:rFonts w:cs="Arial"/>
                <w:sz w:val="20"/>
                <w:szCs w:val="20"/>
              </w:rPr>
              <w:t xml:space="preserve">in </w:t>
            </w:r>
            <w:r w:rsidR="00005D31">
              <w:rPr>
                <w:rFonts w:cs="Arial"/>
                <w:sz w:val="20"/>
                <w:szCs w:val="20"/>
              </w:rPr>
              <w:t>follow-on</w:t>
            </w:r>
            <w:r w:rsidRPr="00E2575C">
              <w:rPr>
                <w:rFonts w:cs="Arial"/>
                <w:sz w:val="20"/>
                <w:szCs w:val="20"/>
              </w:rPr>
              <w:t xml:space="preserve"> formula products </w:t>
            </w:r>
            <w:r>
              <w:rPr>
                <w:rFonts w:cs="Arial"/>
                <w:sz w:val="20"/>
                <w:szCs w:val="20"/>
              </w:rPr>
              <w:t>were made as part of this Application.</w:t>
            </w:r>
          </w:p>
          <w:p w14:paraId="3BA9D185" w14:textId="3064CC6F" w:rsidR="007748F8" w:rsidRPr="002F4A05" w:rsidRDefault="007748F8" w:rsidP="00A47128">
            <w:pPr>
              <w:spacing w:before="120" w:after="120"/>
              <w:rPr>
                <w:rFonts w:cs="Arial"/>
                <w:sz w:val="20"/>
                <w:szCs w:val="20"/>
              </w:rPr>
            </w:pPr>
            <w:r w:rsidRPr="00E2575C">
              <w:rPr>
                <w:rFonts w:cs="Arial"/>
                <w:sz w:val="20"/>
                <w:szCs w:val="20"/>
              </w:rPr>
              <w:t xml:space="preserve">No issues were identified in relation to the potential for </w:t>
            </w:r>
            <w:r w:rsidRPr="006C63C5">
              <w:rPr>
                <w:rFonts w:cs="Arial"/>
                <w:sz w:val="20"/>
                <w:szCs w:val="20"/>
              </w:rPr>
              <w:t>misleading</w:t>
            </w:r>
            <w:r w:rsidRPr="00E2575C">
              <w:rPr>
                <w:rFonts w:cs="Arial"/>
                <w:sz w:val="20"/>
                <w:szCs w:val="20"/>
              </w:rPr>
              <w:t xml:space="preserve"> or deceptive conduct with the proposed reduction in minimum requirement for </w:t>
            </w:r>
            <w:r w:rsidR="00005D31">
              <w:rPr>
                <w:rFonts w:cs="Arial"/>
                <w:sz w:val="20"/>
                <w:szCs w:val="20"/>
              </w:rPr>
              <w:t xml:space="preserve">protein </w:t>
            </w:r>
            <w:r w:rsidRPr="00E2575C">
              <w:rPr>
                <w:rFonts w:cs="Arial"/>
                <w:sz w:val="20"/>
                <w:szCs w:val="20"/>
              </w:rPr>
              <w:t xml:space="preserve">in </w:t>
            </w:r>
            <w:r w:rsidR="00005D31">
              <w:rPr>
                <w:rFonts w:cs="Arial"/>
                <w:sz w:val="20"/>
                <w:szCs w:val="20"/>
              </w:rPr>
              <w:t xml:space="preserve">follow-on </w:t>
            </w:r>
            <w:r w:rsidRPr="00E2575C">
              <w:rPr>
                <w:rFonts w:cs="Arial"/>
                <w:sz w:val="20"/>
                <w:szCs w:val="20"/>
              </w:rPr>
              <w:t xml:space="preserve">formula </w:t>
            </w:r>
            <w:r w:rsidRPr="002F4A05">
              <w:rPr>
                <w:rFonts w:cs="Arial"/>
                <w:sz w:val="20"/>
                <w:szCs w:val="20"/>
              </w:rPr>
              <w:t>products.</w:t>
            </w:r>
          </w:p>
          <w:p w14:paraId="3BA9D186" w14:textId="77777777" w:rsidR="007748F8" w:rsidRPr="002F4A05" w:rsidRDefault="007748F8" w:rsidP="00A47128">
            <w:pPr>
              <w:spacing w:before="120" w:after="120"/>
              <w:rPr>
                <w:rFonts w:cs="Arial"/>
                <w:sz w:val="20"/>
                <w:szCs w:val="20"/>
              </w:rPr>
            </w:pPr>
          </w:p>
        </w:tc>
        <w:tc>
          <w:tcPr>
            <w:tcW w:w="2555" w:type="dxa"/>
            <w:vMerge w:val="restart"/>
          </w:tcPr>
          <w:p w14:paraId="3BA9D187" w14:textId="77777777" w:rsidR="007748F8" w:rsidRPr="002F4A05" w:rsidRDefault="007748F8" w:rsidP="00A47128">
            <w:pPr>
              <w:spacing w:before="120" w:after="120"/>
              <w:rPr>
                <w:rFonts w:cs="Arial"/>
                <w:sz w:val="20"/>
                <w:szCs w:val="20"/>
              </w:rPr>
            </w:pPr>
            <w:r w:rsidRPr="002F4A05">
              <w:rPr>
                <w:rFonts w:cs="Arial"/>
                <w:sz w:val="20"/>
                <w:szCs w:val="20"/>
              </w:rPr>
              <w:t xml:space="preserve">Not </w:t>
            </w:r>
            <w:r>
              <w:rPr>
                <w:rFonts w:cs="Arial"/>
                <w:sz w:val="20"/>
                <w:szCs w:val="20"/>
              </w:rPr>
              <w:t>a</w:t>
            </w:r>
            <w:r w:rsidRPr="002F4A05">
              <w:rPr>
                <w:rFonts w:cs="Arial"/>
                <w:sz w:val="20"/>
                <w:szCs w:val="20"/>
              </w:rPr>
              <w:t>pplicable</w:t>
            </w:r>
          </w:p>
        </w:tc>
      </w:tr>
      <w:tr w:rsidR="00005D31" w:rsidRPr="002F4A05" w14:paraId="3BA9D18C" w14:textId="77777777" w:rsidTr="007A1827">
        <w:tc>
          <w:tcPr>
            <w:tcW w:w="5700" w:type="dxa"/>
          </w:tcPr>
          <w:p w14:paraId="3BA9D189" w14:textId="77777777" w:rsidR="007748F8" w:rsidRPr="002F4A05" w:rsidRDefault="007748F8" w:rsidP="00A47128">
            <w:pPr>
              <w:spacing w:before="120" w:after="120"/>
              <w:rPr>
                <w:rFonts w:cs="Arial"/>
                <w:sz w:val="20"/>
                <w:szCs w:val="20"/>
              </w:rPr>
            </w:pPr>
            <w:r w:rsidRPr="002F4A05">
              <w:rPr>
                <w:rFonts w:cs="Arial"/>
                <w:sz w:val="20"/>
                <w:szCs w:val="20"/>
              </w:rPr>
              <w:t>(l) The labelling and advertising of infant formula products should not represent those products as an equivalent to, or better than, breast milk.</w:t>
            </w:r>
          </w:p>
        </w:tc>
        <w:tc>
          <w:tcPr>
            <w:tcW w:w="5693" w:type="dxa"/>
            <w:vMerge/>
          </w:tcPr>
          <w:p w14:paraId="3BA9D18A" w14:textId="77777777" w:rsidR="007748F8" w:rsidRPr="002F4A05" w:rsidRDefault="007748F8" w:rsidP="00A47128">
            <w:pPr>
              <w:spacing w:before="120" w:after="120"/>
              <w:rPr>
                <w:rFonts w:cs="Arial"/>
                <w:sz w:val="20"/>
                <w:szCs w:val="20"/>
              </w:rPr>
            </w:pPr>
          </w:p>
        </w:tc>
        <w:tc>
          <w:tcPr>
            <w:tcW w:w="2555" w:type="dxa"/>
            <w:vMerge/>
          </w:tcPr>
          <w:p w14:paraId="3BA9D18B" w14:textId="77777777" w:rsidR="007748F8" w:rsidRPr="002F4A05" w:rsidRDefault="007748F8" w:rsidP="00A47128">
            <w:pPr>
              <w:spacing w:before="120" w:after="120"/>
              <w:rPr>
                <w:rFonts w:cs="Arial"/>
                <w:sz w:val="20"/>
                <w:szCs w:val="20"/>
              </w:rPr>
            </w:pPr>
          </w:p>
        </w:tc>
      </w:tr>
      <w:tr w:rsidR="00005D31" w:rsidRPr="002F4A05" w14:paraId="3BA9D190" w14:textId="77777777" w:rsidTr="007A1827">
        <w:tc>
          <w:tcPr>
            <w:tcW w:w="5700" w:type="dxa"/>
          </w:tcPr>
          <w:p w14:paraId="3BA9D18D" w14:textId="77777777" w:rsidR="007748F8" w:rsidRPr="002F4A05" w:rsidRDefault="007748F8" w:rsidP="00A47128">
            <w:pPr>
              <w:spacing w:before="120" w:after="120"/>
              <w:rPr>
                <w:rFonts w:cs="Arial"/>
                <w:sz w:val="20"/>
                <w:szCs w:val="20"/>
              </w:rPr>
            </w:pPr>
            <w:r w:rsidRPr="002F4A05">
              <w:rPr>
                <w:rFonts w:cs="Arial"/>
                <w:sz w:val="20"/>
                <w:szCs w:val="20"/>
              </w:rPr>
              <w:t>(m) The labelling and advertising of infant formula products should provide information on the appropriate and safe use of those products.</w:t>
            </w:r>
          </w:p>
        </w:tc>
        <w:tc>
          <w:tcPr>
            <w:tcW w:w="5693" w:type="dxa"/>
            <w:vMerge/>
          </w:tcPr>
          <w:p w14:paraId="3BA9D18E" w14:textId="77777777" w:rsidR="007748F8" w:rsidRPr="002F4A05" w:rsidRDefault="007748F8" w:rsidP="00A47128">
            <w:pPr>
              <w:spacing w:before="120" w:after="120"/>
              <w:rPr>
                <w:rFonts w:cs="Arial"/>
                <w:sz w:val="20"/>
                <w:szCs w:val="20"/>
              </w:rPr>
            </w:pPr>
          </w:p>
        </w:tc>
        <w:tc>
          <w:tcPr>
            <w:tcW w:w="2555" w:type="dxa"/>
            <w:vMerge/>
          </w:tcPr>
          <w:p w14:paraId="3BA9D18F" w14:textId="77777777" w:rsidR="007748F8" w:rsidRPr="002F4A05" w:rsidRDefault="007748F8" w:rsidP="00A47128">
            <w:pPr>
              <w:spacing w:before="120" w:after="120"/>
              <w:rPr>
                <w:rFonts w:cs="Arial"/>
                <w:sz w:val="20"/>
                <w:szCs w:val="20"/>
              </w:rPr>
            </w:pPr>
          </w:p>
        </w:tc>
      </w:tr>
      <w:tr w:rsidR="00005D31" w:rsidRPr="002F4A05" w14:paraId="3BA9D196" w14:textId="77777777" w:rsidTr="007A1827">
        <w:tc>
          <w:tcPr>
            <w:tcW w:w="5700" w:type="dxa"/>
          </w:tcPr>
          <w:p w14:paraId="3BA9D191" w14:textId="77777777" w:rsidR="007748F8" w:rsidRPr="002F4A05" w:rsidRDefault="007748F8" w:rsidP="00A47128">
            <w:pPr>
              <w:spacing w:before="120" w:after="120"/>
              <w:rPr>
                <w:rFonts w:cs="Arial"/>
                <w:sz w:val="20"/>
                <w:szCs w:val="20"/>
              </w:rPr>
            </w:pPr>
            <w:r w:rsidRPr="002F4A05">
              <w:rPr>
                <w:rFonts w:cs="Arial"/>
                <w:sz w:val="20"/>
                <w:szCs w:val="20"/>
              </w:rPr>
              <w:t>(n) The Authority should:</w:t>
            </w:r>
          </w:p>
          <w:p w14:paraId="3BA9D192" w14:textId="77777777" w:rsidR="007748F8" w:rsidRPr="002F4A05" w:rsidRDefault="007748F8" w:rsidP="00A47128">
            <w:pPr>
              <w:spacing w:before="120" w:after="120"/>
              <w:ind w:left="426"/>
              <w:rPr>
                <w:rFonts w:cs="Arial"/>
                <w:sz w:val="20"/>
                <w:szCs w:val="20"/>
              </w:rPr>
            </w:pPr>
            <w:r w:rsidRPr="002F4A05">
              <w:rPr>
                <w:rFonts w:cs="Arial"/>
                <w:sz w:val="20"/>
                <w:szCs w:val="20"/>
              </w:rPr>
              <w:t>i. ensure that the prohibitions and restrictions on nutrient content, health, therapeutic, and prophylactic claims in the Food Standards Code are clear and effective for infant formula products; and</w:t>
            </w:r>
          </w:p>
          <w:p w14:paraId="3BA9D193" w14:textId="77777777" w:rsidR="007748F8" w:rsidRPr="002F4A05" w:rsidRDefault="007748F8" w:rsidP="00A47128">
            <w:pPr>
              <w:spacing w:before="120" w:after="120"/>
              <w:ind w:left="426"/>
              <w:rPr>
                <w:rFonts w:cs="Arial"/>
                <w:sz w:val="20"/>
                <w:szCs w:val="20"/>
              </w:rPr>
            </w:pPr>
            <w:r w:rsidRPr="002F4A05">
              <w:rPr>
                <w:rFonts w:cs="Arial"/>
                <w:sz w:val="20"/>
                <w:szCs w:val="20"/>
              </w:rPr>
              <w:t>ii. consider whether the current labelling regime is leading to consumers being mislead about the quality or effectiveness of an infant formula product.</w:t>
            </w:r>
          </w:p>
        </w:tc>
        <w:tc>
          <w:tcPr>
            <w:tcW w:w="5693" w:type="dxa"/>
            <w:vMerge/>
          </w:tcPr>
          <w:p w14:paraId="3BA9D194" w14:textId="77777777" w:rsidR="007748F8" w:rsidRPr="002F4A05" w:rsidRDefault="007748F8" w:rsidP="00A47128">
            <w:pPr>
              <w:rPr>
                <w:rFonts w:cs="Arial"/>
                <w:sz w:val="20"/>
                <w:szCs w:val="20"/>
              </w:rPr>
            </w:pPr>
          </w:p>
        </w:tc>
        <w:tc>
          <w:tcPr>
            <w:tcW w:w="2555" w:type="dxa"/>
            <w:vMerge/>
          </w:tcPr>
          <w:p w14:paraId="3BA9D195" w14:textId="77777777" w:rsidR="007748F8" w:rsidRPr="002F4A05" w:rsidRDefault="007748F8" w:rsidP="00A47128">
            <w:pPr>
              <w:spacing w:before="120" w:after="120"/>
              <w:rPr>
                <w:rFonts w:cs="Arial"/>
                <w:sz w:val="20"/>
                <w:szCs w:val="20"/>
              </w:rPr>
            </w:pPr>
          </w:p>
        </w:tc>
      </w:tr>
    </w:tbl>
    <w:p w14:paraId="3BA9D197" w14:textId="6CDC1855" w:rsidR="00D60568" w:rsidRDefault="00D60568" w:rsidP="00690206"/>
    <w:p w14:paraId="33DAE76A" w14:textId="6CFD8953" w:rsidR="00757B38" w:rsidRDefault="00757B38" w:rsidP="00690206"/>
    <w:p w14:paraId="0420792A" w14:textId="38263E42" w:rsidR="00757B38" w:rsidRPr="005F5D83" w:rsidRDefault="00757B38" w:rsidP="00757B38">
      <w:pPr>
        <w:widowControl/>
        <w:rPr>
          <w:sz w:val="20"/>
          <w:szCs w:val="20"/>
          <w:lang w:bidi="ar-SA"/>
        </w:rPr>
      </w:pPr>
      <w:r>
        <w:rPr>
          <w:sz w:val="20"/>
          <w:szCs w:val="20"/>
          <w:lang w:bidi="ar-SA"/>
        </w:rPr>
        <w:t xml:space="preserve">NHMRC (2012) </w:t>
      </w:r>
      <w:r w:rsidRPr="005F5D83">
        <w:rPr>
          <w:sz w:val="20"/>
          <w:szCs w:val="20"/>
          <w:lang w:bidi="ar-SA"/>
        </w:rPr>
        <w:t xml:space="preserve">Australian Infant Feeding Guidelines – Information for Health Workers. National Health and Medical Research Council, Canberra. </w:t>
      </w:r>
      <w:hyperlink r:id="rId16" w:history="1">
        <w:r w:rsidRPr="005F5D83">
          <w:rPr>
            <w:rStyle w:val="Hyperlink"/>
            <w:sz w:val="20"/>
            <w:szCs w:val="20"/>
            <w:lang w:bidi="ar-SA"/>
          </w:rPr>
          <w:t>http://www.nhmrc.gov.au/_files_nhmrc/publications/attachments/n56_infant_feeding_guidelines.pdf</w:t>
        </w:r>
      </w:hyperlink>
    </w:p>
    <w:p w14:paraId="6CD4FC46" w14:textId="77777777" w:rsidR="00757B38" w:rsidRPr="00FD7029" w:rsidRDefault="00757B38" w:rsidP="00757B38"/>
    <w:p w14:paraId="558A32F5" w14:textId="77777777" w:rsidR="00757B38" w:rsidRPr="00E203C2" w:rsidRDefault="00757B38" w:rsidP="00690206"/>
    <w:sectPr w:rsidR="00757B38" w:rsidRPr="00E203C2" w:rsidSect="007748F8">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D19C" w14:textId="77777777" w:rsidR="007748F8" w:rsidRDefault="007748F8">
      <w:r>
        <w:separator/>
      </w:r>
    </w:p>
  </w:endnote>
  <w:endnote w:type="continuationSeparator" w:id="0">
    <w:p w14:paraId="3BA9D19D" w14:textId="77777777" w:rsidR="007748F8" w:rsidRDefault="0077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9432" w14:textId="77777777" w:rsidR="00A90DFE" w:rsidRPr="00A90DFE" w:rsidRDefault="00A90DFE" w:rsidP="00A90DF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BA9D19E" w14:textId="07F71869" w:rsidR="0006473A" w:rsidRDefault="00A90DFE" w:rsidP="00A90DFE">
    <w:pPr>
      <w:pStyle w:val="Footer"/>
      <w:framePr w:wrap="around" w:vAnchor="text" w:hAnchor="margin" w:xAlign="center" w:y="1"/>
      <w:jc w:val="center"/>
      <w:rPr>
        <w:rStyle w:val="PageNumber"/>
      </w:rPr>
    </w:pPr>
    <w:r w:rsidRPr="00A90DFE">
      <w:rPr>
        <w:rStyle w:val="PageNumber"/>
        <w:rFonts w:ascii="Calibri" w:hAnsi="Calibri" w:cs="Calibri"/>
        <w:b/>
        <w:color w:val="F00000"/>
        <w:sz w:val="24"/>
      </w:rPr>
      <w:t>OFFICIAL</w:t>
    </w:r>
    <w:r>
      <w:rPr>
        <w:rStyle w:val="PageNumber"/>
      </w:rPr>
      <w:t xml:space="preserve"> </w:t>
    </w:r>
    <w:r>
      <w:rPr>
        <w:rStyle w:val="PageNumber"/>
      </w:rPr>
      <w:fldChar w:fldCharType="end"/>
    </w:r>
    <w:r w:rsidR="0006473A">
      <w:rPr>
        <w:rStyle w:val="PageNumber"/>
      </w:rPr>
      <w:fldChar w:fldCharType="begin"/>
    </w:r>
    <w:r w:rsidR="0006473A">
      <w:rPr>
        <w:rStyle w:val="PageNumber"/>
      </w:rPr>
      <w:instrText xml:space="preserve">PAGE  </w:instrText>
    </w:r>
    <w:r w:rsidR="0006473A">
      <w:rPr>
        <w:rStyle w:val="PageNumber"/>
      </w:rPr>
      <w:fldChar w:fldCharType="end"/>
    </w:r>
  </w:p>
  <w:p w14:paraId="3BA9D19F" w14:textId="77777777" w:rsidR="0006473A" w:rsidRDefault="0006473A" w:rsidP="00A90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7974" w14:textId="77777777" w:rsidR="00A90DFE" w:rsidRPr="00A90DFE" w:rsidRDefault="00A90DFE" w:rsidP="00A90DFE">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C5647BC" w14:textId="27AF492F" w:rsidR="00A90DFE" w:rsidRDefault="00A90DFE" w:rsidP="00A90DFE">
    <w:pPr>
      <w:pStyle w:val="Footer"/>
      <w:jc w:val="center"/>
    </w:pPr>
    <w:r w:rsidRPr="00A90DFE">
      <w:rPr>
        <w:rFonts w:ascii="Calibri" w:hAnsi="Calibri" w:cs="Calibri"/>
        <w:b/>
        <w:color w:val="F00000"/>
        <w:sz w:val="24"/>
      </w:rPr>
      <w:t>OFFICIAL</w:t>
    </w:r>
    <w:r>
      <w:t xml:space="preserve"> </w:t>
    </w:r>
    <w:r>
      <w:fldChar w:fldCharType="end"/>
    </w:r>
  </w:p>
  <w:p w14:paraId="3BA9D1A1" w14:textId="4CB3D4AF" w:rsidR="0006473A" w:rsidRDefault="00A90DFE" w:rsidP="00A65433">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6011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60114">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EA36" w14:textId="77777777" w:rsidR="00A90DFE" w:rsidRPr="00A90DFE" w:rsidRDefault="00A90DFE" w:rsidP="00A90DF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166792E" w14:textId="1AEB0BE3" w:rsidR="00E24828" w:rsidRPr="00A90DFE" w:rsidRDefault="00A90DFE" w:rsidP="00A90DFE">
    <w:pPr>
      <w:pStyle w:val="Footer"/>
      <w:jc w:val="center"/>
    </w:pPr>
    <w:r w:rsidRPr="00A90DF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D19A" w14:textId="77777777" w:rsidR="007748F8" w:rsidRDefault="007748F8">
      <w:r>
        <w:separator/>
      </w:r>
    </w:p>
  </w:footnote>
  <w:footnote w:type="continuationSeparator" w:id="0">
    <w:p w14:paraId="3BA9D19B" w14:textId="77777777" w:rsidR="007748F8" w:rsidRDefault="0077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FC49D" w14:textId="77777777" w:rsidR="00A90DFE" w:rsidRPr="00A90DFE" w:rsidRDefault="00A90DFE" w:rsidP="00A90DF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A90DFE">
      <w:rPr>
        <w:rFonts w:ascii="Calibri" w:hAnsi="Calibri" w:cs="Calibri"/>
        <w:b/>
        <w:color w:val="F00000"/>
        <w:sz w:val="24"/>
      </w:rPr>
      <w:t>OFFICIAL</w:t>
    </w:r>
  </w:p>
  <w:p w14:paraId="7F50C65C" w14:textId="66866DE9" w:rsidR="00E24828" w:rsidRPr="00A90DFE" w:rsidRDefault="00A90DFE" w:rsidP="00A90DFE">
    <w:pPr>
      <w:pStyle w:val="Header"/>
      <w:jc w:val="center"/>
    </w:pPr>
    <w:r w:rsidRPr="00A90DF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7220" w14:textId="77777777" w:rsidR="00A90DFE" w:rsidRPr="00A90DFE" w:rsidRDefault="00A90DFE" w:rsidP="00A90DF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A90DFE">
      <w:rPr>
        <w:rFonts w:ascii="Calibri" w:hAnsi="Calibri" w:cs="Calibri"/>
        <w:b/>
        <w:color w:val="F00000"/>
        <w:sz w:val="24"/>
      </w:rPr>
      <w:t>OFFICIAL</w:t>
    </w:r>
  </w:p>
  <w:p w14:paraId="402CC86D" w14:textId="6114EF05" w:rsidR="00E24828" w:rsidRPr="00A90DFE" w:rsidRDefault="00A90DFE" w:rsidP="00A90DFE">
    <w:pPr>
      <w:pStyle w:val="Header"/>
      <w:jc w:val="center"/>
    </w:pPr>
    <w:r w:rsidRPr="00A90DF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6066" w14:textId="77777777" w:rsidR="00A90DFE" w:rsidRPr="00A90DFE" w:rsidRDefault="00A90DFE" w:rsidP="00A90DF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A90DFE">
      <w:rPr>
        <w:rFonts w:ascii="Calibri" w:hAnsi="Calibri" w:cs="Calibri"/>
        <w:b/>
        <w:bCs/>
        <w:color w:val="F00000"/>
        <w:sz w:val="24"/>
      </w:rPr>
      <w:t>OFFICIAL</w:t>
    </w:r>
  </w:p>
  <w:p w14:paraId="0C61EE7B" w14:textId="3B0AE4C6" w:rsidR="00A90DFE" w:rsidRDefault="00A90DFE" w:rsidP="00A90DFE">
    <w:pPr>
      <w:pStyle w:val="Header"/>
      <w:jc w:val="center"/>
      <w:rPr>
        <w:b/>
        <w:bCs/>
      </w:rPr>
    </w:pPr>
    <w:r w:rsidRPr="00A90DFE">
      <w:rPr>
        <w:rFonts w:ascii="Calibri" w:hAnsi="Calibri" w:cs="Calibri"/>
        <w:b/>
        <w:bCs/>
        <w:color w:val="F00000"/>
        <w:sz w:val="24"/>
      </w:rPr>
      <w:t xml:space="preserve"> </w:t>
    </w:r>
    <w:r>
      <w:rPr>
        <w:b/>
        <w:bCs/>
      </w:rPr>
      <w:fldChar w:fldCharType="end"/>
    </w:r>
  </w:p>
  <w:p w14:paraId="3BA9D1A2" w14:textId="63DF663C"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2"/>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5D31"/>
    <w:rsid w:val="00035623"/>
    <w:rsid w:val="00035FF3"/>
    <w:rsid w:val="00051021"/>
    <w:rsid w:val="00051ED9"/>
    <w:rsid w:val="00057181"/>
    <w:rsid w:val="00060114"/>
    <w:rsid w:val="0006473A"/>
    <w:rsid w:val="00064B2D"/>
    <w:rsid w:val="00065F1F"/>
    <w:rsid w:val="00076D33"/>
    <w:rsid w:val="00091CDC"/>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2CFE"/>
    <w:rsid w:val="002547EF"/>
    <w:rsid w:val="00256D65"/>
    <w:rsid w:val="00271F00"/>
    <w:rsid w:val="00273A80"/>
    <w:rsid w:val="0028590B"/>
    <w:rsid w:val="0029204E"/>
    <w:rsid w:val="0029631C"/>
    <w:rsid w:val="002A0194"/>
    <w:rsid w:val="002A5F8B"/>
    <w:rsid w:val="002A7F6C"/>
    <w:rsid w:val="002D6809"/>
    <w:rsid w:val="002F6488"/>
    <w:rsid w:val="0031740B"/>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392A"/>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1244E"/>
    <w:rsid w:val="005207D8"/>
    <w:rsid w:val="0053464E"/>
    <w:rsid w:val="005469C8"/>
    <w:rsid w:val="00562917"/>
    <w:rsid w:val="00586228"/>
    <w:rsid w:val="005A1D97"/>
    <w:rsid w:val="005B6AF4"/>
    <w:rsid w:val="005B7A73"/>
    <w:rsid w:val="005C04CB"/>
    <w:rsid w:val="005D16AD"/>
    <w:rsid w:val="005D72E1"/>
    <w:rsid w:val="005E6E16"/>
    <w:rsid w:val="005F400E"/>
    <w:rsid w:val="005F7342"/>
    <w:rsid w:val="00603A08"/>
    <w:rsid w:val="00610742"/>
    <w:rsid w:val="00610A3C"/>
    <w:rsid w:val="00627F48"/>
    <w:rsid w:val="00630C23"/>
    <w:rsid w:val="006460AB"/>
    <w:rsid w:val="00651F55"/>
    <w:rsid w:val="00663FCF"/>
    <w:rsid w:val="006652A2"/>
    <w:rsid w:val="00690206"/>
    <w:rsid w:val="006937FF"/>
    <w:rsid w:val="006A48A7"/>
    <w:rsid w:val="006B4BA1"/>
    <w:rsid w:val="006B5EBE"/>
    <w:rsid w:val="006C5CF5"/>
    <w:rsid w:val="006F4A82"/>
    <w:rsid w:val="0070373B"/>
    <w:rsid w:val="00724FA4"/>
    <w:rsid w:val="00730800"/>
    <w:rsid w:val="00757B38"/>
    <w:rsid w:val="007602AA"/>
    <w:rsid w:val="007652EF"/>
    <w:rsid w:val="00772BDC"/>
    <w:rsid w:val="007748F8"/>
    <w:rsid w:val="00780792"/>
    <w:rsid w:val="007A1827"/>
    <w:rsid w:val="007A44B4"/>
    <w:rsid w:val="007A7D3D"/>
    <w:rsid w:val="007B225D"/>
    <w:rsid w:val="007C174F"/>
    <w:rsid w:val="007C1C64"/>
    <w:rsid w:val="007D3A4B"/>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01CE"/>
    <w:rsid w:val="0094247F"/>
    <w:rsid w:val="00942D60"/>
    <w:rsid w:val="0096523B"/>
    <w:rsid w:val="00966EE3"/>
    <w:rsid w:val="00972D06"/>
    <w:rsid w:val="009A391C"/>
    <w:rsid w:val="009A50F2"/>
    <w:rsid w:val="009E0A61"/>
    <w:rsid w:val="009E3010"/>
    <w:rsid w:val="009F007E"/>
    <w:rsid w:val="009F7065"/>
    <w:rsid w:val="00A4175D"/>
    <w:rsid w:val="00A56DC7"/>
    <w:rsid w:val="00A65433"/>
    <w:rsid w:val="00A74FD1"/>
    <w:rsid w:val="00A84A58"/>
    <w:rsid w:val="00A90DFE"/>
    <w:rsid w:val="00AC294F"/>
    <w:rsid w:val="00AF06FC"/>
    <w:rsid w:val="00AF3391"/>
    <w:rsid w:val="00AF387F"/>
    <w:rsid w:val="00B00E7F"/>
    <w:rsid w:val="00B12F1E"/>
    <w:rsid w:val="00B173DA"/>
    <w:rsid w:val="00B21DCC"/>
    <w:rsid w:val="00B248BF"/>
    <w:rsid w:val="00B25F37"/>
    <w:rsid w:val="00B37BF0"/>
    <w:rsid w:val="00B44422"/>
    <w:rsid w:val="00B46EA0"/>
    <w:rsid w:val="00B731D3"/>
    <w:rsid w:val="00B839A3"/>
    <w:rsid w:val="00B902BD"/>
    <w:rsid w:val="00BA24E2"/>
    <w:rsid w:val="00BD2A39"/>
    <w:rsid w:val="00BD2E80"/>
    <w:rsid w:val="00BE11B8"/>
    <w:rsid w:val="00BF7FF0"/>
    <w:rsid w:val="00C057F4"/>
    <w:rsid w:val="00C12502"/>
    <w:rsid w:val="00C12DF0"/>
    <w:rsid w:val="00C36578"/>
    <w:rsid w:val="00C40AA5"/>
    <w:rsid w:val="00C46F70"/>
    <w:rsid w:val="00C476D0"/>
    <w:rsid w:val="00C61AC1"/>
    <w:rsid w:val="00C836E3"/>
    <w:rsid w:val="00C86577"/>
    <w:rsid w:val="00C92E07"/>
    <w:rsid w:val="00C96868"/>
    <w:rsid w:val="00CA0416"/>
    <w:rsid w:val="00CC4FD9"/>
    <w:rsid w:val="00CC560B"/>
    <w:rsid w:val="00CC75E2"/>
    <w:rsid w:val="00CD46EB"/>
    <w:rsid w:val="00CD7EBF"/>
    <w:rsid w:val="00CF6EFA"/>
    <w:rsid w:val="00D056F1"/>
    <w:rsid w:val="00D11171"/>
    <w:rsid w:val="00D22F3C"/>
    <w:rsid w:val="00D23DB6"/>
    <w:rsid w:val="00D43FE6"/>
    <w:rsid w:val="00D51A95"/>
    <w:rsid w:val="00D60568"/>
    <w:rsid w:val="00D70C7A"/>
    <w:rsid w:val="00D81D38"/>
    <w:rsid w:val="00D874A9"/>
    <w:rsid w:val="00DA10A8"/>
    <w:rsid w:val="00DB1E08"/>
    <w:rsid w:val="00DB2973"/>
    <w:rsid w:val="00DC1B56"/>
    <w:rsid w:val="00DC2129"/>
    <w:rsid w:val="00DC6570"/>
    <w:rsid w:val="00DD3C5E"/>
    <w:rsid w:val="00DF25C3"/>
    <w:rsid w:val="00E04062"/>
    <w:rsid w:val="00E063C6"/>
    <w:rsid w:val="00E066BA"/>
    <w:rsid w:val="00E2003B"/>
    <w:rsid w:val="00E203C2"/>
    <w:rsid w:val="00E24828"/>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1B44"/>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A9D13D"/>
  <w15:docId w15:val="{602104A8-DE4F-4747-8168-6C1DA3FD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http://www.nhmrc.gov.au/_files_nhmrc/publications/attachments/n56_infant_feeding_guidelines.pdf" TargetMode="Externa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fontTable" Target="fontTable.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E19F-24DF-4454-A7FE-A42905E2BED5}"/>
</file>

<file path=customXml/itemProps2.xml><?xml version="1.0" encoding="utf-8"?>
<ds:datastoreItem xmlns:ds="http://schemas.openxmlformats.org/officeDocument/2006/customXml" ds:itemID="{33F49963-BD46-4C0E-9A15-3E742383F529}">
  <ds:schemaRefs>
    <ds:schemaRef ds:uri="Microsoft.SharePoint.Taxonomy.ContentTypeSync"/>
  </ds:schemaRefs>
</ds:datastoreItem>
</file>

<file path=customXml/itemProps3.xml><?xml version="1.0" encoding="utf-8"?>
<ds:datastoreItem xmlns:ds="http://schemas.openxmlformats.org/officeDocument/2006/customXml" ds:itemID="{04391FEC-843D-4903-98E7-80D281061711}"/>
</file>

<file path=customXml/itemProps4.xml><?xml version="1.0" encoding="utf-8"?>
<ds:datastoreItem xmlns:ds="http://schemas.openxmlformats.org/officeDocument/2006/customXml" ds:itemID="{F1743100-1CF8-4A1B-83F3-CB5448B0F851}"/>
</file>

<file path=customXml/itemProps5.xml><?xml version="1.0" encoding="utf-8"?>
<ds:datastoreItem xmlns:ds="http://schemas.openxmlformats.org/officeDocument/2006/customXml" ds:itemID="{FC983383-E068-46AA-8A57-64C39E189861}">
  <ds:schemaRefs>
    <ds:schemaRef ds:uri="http://schemas.microsoft.com/office/2006/metadata/customXsn"/>
  </ds:schemaRefs>
</ds:datastoreItem>
</file>

<file path=customXml/itemProps6.xml><?xml version="1.0" encoding="utf-8"?>
<ds:datastoreItem xmlns:ds="http://schemas.openxmlformats.org/officeDocument/2006/customXml" ds:itemID="{A9069076-0BBB-4BF2-ACCF-98D9C1D25C59}"/>
</file>

<file path=customXml/itemProps7.xml><?xml version="1.0" encoding="utf-8"?>
<ds:datastoreItem xmlns:ds="http://schemas.openxmlformats.org/officeDocument/2006/customXml" ds:itemID="{A4A2BB5B-CDC2-4B22-B014-57DF9425B862}"/>
</file>

<file path=customXml/itemProps8.xml><?xml version="1.0" encoding="utf-8"?>
<ds:datastoreItem xmlns:ds="http://schemas.openxmlformats.org/officeDocument/2006/customXml" ds:itemID="{ADF2377C-5199-4204-BB58-CF22BC1D1551}"/>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7018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rileyh</dc:creator>
  <cp:keywords/>
  <cp:lastModifiedBy>CoughC</cp:lastModifiedBy>
  <cp:revision>2</cp:revision>
  <cp:lastPrinted>2013-03-13T03:07:00Z</cp:lastPrinted>
  <dcterms:created xsi:type="dcterms:W3CDTF">2019-09-25T22:05:00Z</dcterms:created>
  <dcterms:modified xsi:type="dcterms:W3CDTF">2019-09-25T22:05:00Z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docIndexRef">
    <vt:lpwstr>d51b3202-da0a-486e-84c6-13a4be3f1315</vt:lpwstr>
  </property>
  <property fmtid="{D5CDD505-2E9C-101B-9397-08002B2CF9AE}" pid="6" name="bjSaver">
    <vt:lpwstr>+EMUHtsvCkQOwfd/8vrizAGwMQkjMd0z</vt:lpwstr>
  </property>
  <property fmtid="{D5CDD505-2E9C-101B-9397-08002B2CF9AE}" pid="7" name="a41428b017d04df981d58ffdf035d7b8">
    <vt:lpwstr>|e1e32ca4-364d-46d7-813a-d3141d2fc5b3</vt:lpwstr>
  </property>
  <property fmtid="{D5CDD505-2E9C-101B-9397-08002B2CF9AE}" pid="8" name="_dlc_DocIdItemGuid">
    <vt:lpwstr>b634ec36-1e89-4577-8b48-25e4d92fcdfa</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WebId">
    <vt:lpwstr>{0a24ff59-26de-499e-af6c-870128dbbd86}</vt:lpwstr>
  </property>
  <property fmtid="{D5CDD505-2E9C-101B-9397-08002B2CF9AE}" pid="20" name="RecordPoint_ActiveItemSiteId">
    <vt:lpwstr>{cec154f9-42c6-4481-9906-45443d426660}</vt:lpwstr>
  </property>
  <property fmtid="{D5CDD505-2E9C-101B-9397-08002B2CF9AE}" pid="21" name="RecordPoint_ActiveItemListId">
    <vt:lpwstr>{3a9826a6-ef3d-4704-849b-07726235ecc0}</vt:lpwstr>
  </property>
  <property fmtid="{D5CDD505-2E9C-101B-9397-08002B2CF9AE}" pid="22" name="RecordPoint_ActiveItemUniqueId">
    <vt:lpwstr>{88fdb549-3cfe-4e36-a0e8-f99695c495a5}</vt:lpwstr>
  </property>
  <property fmtid="{D5CDD505-2E9C-101B-9397-08002B2CF9AE}" pid="23" name="RecordPoint_RecordNumberSubmitted">
    <vt:lpwstr>R0000117104</vt:lpwstr>
  </property>
  <property fmtid="{D5CDD505-2E9C-101B-9397-08002B2CF9AE}" pid="24" name="RecordPoint_SubmissionCompleted">
    <vt:lpwstr>2019-09-23T13:40:35.9126563+10:00</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